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NHPSG Manager</w:t>
      </w:r>
    </w:p>
    <w:p>
      <w:pPr>
        <w:pStyle w:val="Heading1"/>
      </w:pPr>
      <w:r>
        <w:t>Core Framework Specification</w:t>
      </w:r>
    </w:p>
    <w:p>
      <w:pPr>
        <w:pStyle w:val="Heading1"/>
      </w:pPr>
      <w:r>
        <w:t>Care Guidance Framework</w:t>
      </w:r>
    </w:p>
    <w:p>
      <w:r>
        <w:t>Version 1.0</w:t>
        <w:br/>
        <w:br/>
        <w:t>Chapter 2 – Overall Architecture</w:t>
      </w:r>
    </w:p>
    <w:p>
      <w:pPr>
        <w:pStyle w:val="Heading2"/>
      </w:pPr>
      <w:r>
        <w:t>2.1 Architectural Purpose</w:t>
      </w:r>
    </w:p>
    <w:p>
      <w:r>
        <w:t>The Care Guidance Framework is a shared platform service used by operational modules to present client-specific guidance immediately before or during care. It is not owned by any single module and is designed to be reused consistently throughout NHPSG Manager.</w:t>
      </w:r>
    </w:p>
    <w:p>
      <w:pPr>
        <w:pStyle w:val="Heading2"/>
      </w:pPr>
      <w:r>
        <w:t>2.2 Architectural Position</w:t>
      </w:r>
    </w:p>
    <w:p>
      <w:r>
        <w:t>Operational modules request guidance from the Care Guidance Framework when a worker opens or performs a task. The framework returns the active guidance records relevant to the client, module and, where applicable, the specific record being worked on.</w:t>
      </w:r>
    </w:p>
    <w:p>
      <w:pPr>
        <w:pStyle w:val="Heading2"/>
      </w:pPr>
      <w:r>
        <w:t>2.3 Core Principles</w:t>
      </w:r>
    </w:p>
    <w:p>
      <w:pPr>
        <w:pStyle w:val="ListBullet"/>
      </w:pPr>
      <w:r>
        <w:t>One reusable framework shared across all operational modules.</w:t>
      </w:r>
    </w:p>
    <w:p>
      <w:pPr>
        <w:pStyle w:val="ListBullet"/>
      </w:pPr>
      <w:r>
        <w:t>Guidance is displayed before or during care.</w:t>
      </w:r>
    </w:p>
    <w:p>
      <w:pPr>
        <w:pStyle w:val="ListBullet"/>
      </w:pPr>
      <w:r>
        <w:t>Historical versions are preserved for audit purposes.</w:t>
      </w:r>
    </w:p>
    <w:p>
      <w:pPr>
        <w:pStyle w:val="ListBullet"/>
      </w:pPr>
      <w:r>
        <w:t>Operational modules never duplicate guidance logic.</w:t>
      </w:r>
    </w:p>
    <w:p>
      <w:pPr>
        <w:pStyle w:val="ListBullet"/>
      </w:pPr>
      <w:r>
        <w:t>Framework integrates with Activity Log, Actions, Management Notes and Acknowledgements.</w:t>
      </w:r>
    </w:p>
    <w:p>
      <w:pPr>
        <w:pStyle w:val="Heading2"/>
      </w:pPr>
      <w:r>
        <w:t>2.4 Framework Consumers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Operational Module</w:t>
            </w:r>
          </w:p>
        </w:tc>
        <w:tc>
          <w:tcPr>
            <w:tcW w:type="dxa" w:w="4320"/>
          </w:tcPr>
          <w:p>
            <w:r>
              <w:t>Example Guidance</w:t>
            </w:r>
          </w:p>
        </w:tc>
      </w:tr>
      <w:tr>
        <w:tc>
          <w:tcPr>
            <w:tcW w:type="dxa" w:w="4320"/>
          </w:tcPr>
          <w:p>
            <w:r>
              <w:t>Medication</w:t>
            </w:r>
          </w:p>
        </w:tc>
        <w:tc>
          <w:tcPr>
            <w:tcW w:type="dxa" w:w="4320"/>
          </w:tcPr>
          <w:p>
            <w:r>
              <w:t>Administration instructions, swallowing guidance, monitoring requirements</w:t>
            </w:r>
          </w:p>
        </w:tc>
      </w:tr>
      <w:tr>
        <w:tc>
          <w:tcPr>
            <w:tcW w:type="dxa" w:w="4320"/>
          </w:tcPr>
          <w:p>
            <w:r>
              <w:t>Behaviour</w:t>
            </w:r>
          </w:p>
        </w:tc>
        <w:tc>
          <w:tcPr>
            <w:tcW w:type="dxa" w:w="4320"/>
          </w:tcPr>
          <w:p>
            <w:r>
              <w:t>De-escalation strategies and preferred interventions</w:t>
            </w:r>
          </w:p>
        </w:tc>
      </w:tr>
      <w:tr>
        <w:tc>
          <w:tcPr>
            <w:tcW w:type="dxa" w:w="4320"/>
          </w:tcPr>
          <w:p>
            <w:r>
              <w:t>BM Tracker</w:t>
            </w:r>
          </w:p>
        </w:tc>
        <w:tc>
          <w:tcPr>
            <w:tcW w:type="dxa" w:w="4320"/>
          </w:tcPr>
          <w:p>
            <w:r>
              <w:t>Observation and escalation guidance</w:t>
            </w:r>
          </w:p>
        </w:tc>
      </w:tr>
      <w:tr>
        <w:tc>
          <w:tcPr>
            <w:tcW w:type="dxa" w:w="4320"/>
          </w:tcPr>
          <w:p>
            <w:r>
              <w:t>Care Tasks</w:t>
            </w:r>
          </w:p>
        </w:tc>
        <w:tc>
          <w:tcPr>
            <w:tcW w:type="dxa" w:w="4320"/>
          </w:tcPr>
          <w:p>
            <w:r>
              <w:t>Client-specific care preferences</w:t>
            </w:r>
          </w:p>
        </w:tc>
      </w:tr>
      <w:tr>
        <w:tc>
          <w:tcPr>
            <w:tcW w:type="dxa" w:w="4320"/>
          </w:tcPr>
          <w:p>
            <w:r>
              <w:t>Housekeeping</w:t>
            </w:r>
          </w:p>
        </w:tc>
        <w:tc>
          <w:tcPr>
            <w:tcW w:type="dxa" w:w="4320"/>
          </w:tcPr>
          <w:p>
            <w:r>
              <w:t>Cleaning preferences and safety requirements</w:t>
            </w:r>
          </w:p>
        </w:tc>
      </w:tr>
      <w:tr>
        <w:tc>
          <w:tcPr>
            <w:tcW w:type="dxa" w:w="4320"/>
          </w:tcPr>
          <w:p>
            <w:r>
              <w:t>Sleep</w:t>
            </w:r>
          </w:p>
        </w:tc>
        <w:tc>
          <w:tcPr>
            <w:tcW w:type="dxa" w:w="4320"/>
          </w:tcPr>
          <w:p>
            <w:r>
              <w:t>Bedtime routines and monitoring</w:t>
            </w:r>
          </w:p>
        </w:tc>
      </w:tr>
      <w:tr>
        <w:tc>
          <w:tcPr>
            <w:tcW w:type="dxa" w:w="4320"/>
          </w:tcPr>
          <w:p>
            <w:r>
              <w:t>Food &amp; Beverage</w:t>
            </w:r>
          </w:p>
        </w:tc>
        <w:tc>
          <w:tcPr>
            <w:tcW w:type="dxa" w:w="4320"/>
          </w:tcPr>
          <w:p>
            <w:r>
              <w:t>Dietary preferences and meal preparation guidance</w:t>
            </w:r>
          </w:p>
        </w:tc>
      </w:tr>
      <w:tr>
        <w:tc>
          <w:tcPr>
            <w:tcW w:type="dxa" w:w="4320"/>
          </w:tcPr>
          <w:p>
            <w:r>
              <w:t>Community Activities</w:t>
            </w:r>
          </w:p>
        </w:tc>
        <w:tc>
          <w:tcPr>
            <w:tcW w:type="dxa" w:w="4320"/>
          </w:tcPr>
          <w:p>
            <w:r>
              <w:t>Transport, access and participation guidance</w:t>
            </w:r>
          </w:p>
        </w:tc>
      </w:tr>
    </w:tbl>
    <w:p>
      <w:pPr>
        <w:pStyle w:val="Heading2"/>
      </w:pPr>
      <w:r>
        <w:t>2.5 Integration with NHPSG Frameworks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Relationship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Activity Log</w:t>
            </w:r>
          </w:p>
        </w:tc>
        <w:tc>
          <w:tcPr>
            <w:tcW w:type="dxa" w:w="2880"/>
          </w:tcPr>
          <w:p>
            <w:r>
              <w:t>Records changes</w:t>
            </w:r>
          </w:p>
        </w:tc>
        <w:tc>
          <w:tcPr>
            <w:tcW w:type="dxa" w:w="2880"/>
          </w:tcPr>
          <w:p>
            <w:r>
              <w:t>Audit of guidance lifecycle</w:t>
            </w:r>
          </w:p>
        </w:tc>
      </w:tr>
      <w:tr>
        <w:tc>
          <w:tcPr>
            <w:tcW w:type="dxa" w:w="2880"/>
          </w:tcPr>
          <w:p>
            <w:r>
              <w:t>Management Notes</w:t>
            </w:r>
          </w:p>
        </w:tc>
        <w:tc>
          <w:tcPr>
            <w:tcW w:type="dxa" w:w="2880"/>
          </w:tcPr>
          <w:p>
            <w:r>
              <w:t>Complementary</w:t>
            </w:r>
          </w:p>
        </w:tc>
        <w:tc>
          <w:tcPr>
            <w:tcW w:type="dxa" w:w="2880"/>
          </w:tcPr>
          <w:p>
            <w:r>
              <w:t>Management observations after care</w:t>
            </w:r>
          </w:p>
        </w:tc>
      </w:tr>
      <w:tr>
        <w:tc>
          <w:tcPr>
            <w:tcW w:type="dxa" w:w="2880"/>
          </w:tcPr>
          <w:p>
            <w:r>
              <w:t>Acknowledgements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Track review of important guidance</w:t>
            </w:r>
          </w:p>
        </w:tc>
      </w:tr>
      <w:tr>
        <w:tc>
          <w:tcPr>
            <w:tcW w:type="dxa" w:w="2880"/>
          </w:tcPr>
          <w:p>
            <w:r>
              <w:t>Actions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Create follow-up work when guidance changes</w:t>
            </w:r>
          </w:p>
        </w:tc>
      </w:tr>
    </w:tbl>
    <w:p>
      <w:pPr>
        <w:pStyle w:val="Heading2"/>
      </w:pPr>
      <w:r>
        <w:t>2.6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Care Guidance is a platform framework, not a Medication feature.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All operational modules consume the same framework.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Guidance is version controlled.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Historical guidance is retained.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Framework is designed for future multimedia support.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