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NHPSG Manager</w:t>
      </w:r>
    </w:p>
    <w:p>
      <w:pPr>
        <w:jc w:val="center"/>
      </w:pPr>
      <w:r>
        <w:rPr>
          <w:rFonts w:ascii="Arial" w:hAnsi="Arial"/>
          <w:b/>
          <w:sz w:val="32"/>
        </w:rPr>
        <w:t>Core Framework Specification</w:t>
      </w:r>
    </w:p>
    <w:p>
      <w:pPr>
        <w:jc w:val="center"/>
      </w:pPr>
      <w:r>
        <w:rPr>
          <w:rFonts w:ascii="Arial" w:hAnsi="Arial"/>
          <w:b/>
          <w:sz w:val="36"/>
        </w:rPr>
        <w:t>Care Guidance Framework</w:t>
      </w:r>
    </w:p>
    <w:p>
      <w:pPr>
        <w:jc w:val="center"/>
      </w:pPr>
      <w:r>
        <w:rPr>
          <w:sz w:val="24"/>
        </w:rPr>
        <w:t>Version 1.0</w:t>
        <w:br/>
        <w:t>Chapter 4 - Application Architecture</w:t>
      </w:r>
    </w:p>
    <w:p/>
    <w:p>
      <w:pPr>
        <w:pStyle w:val="Heading2"/>
      </w:pPr>
      <w:r>
        <w:t>4.1 Purpose</w:t>
      </w:r>
    </w:p>
    <w:p>
      <w:r>
        <w:t>This chapter defines how the Care Guidance Framework will be structured within the NHPSG Manager application. It establishes the responsibilities of routes, helper functions, templates, validation, permissions, versioning, and integration points so that every operational module uses one consistent implementation.</w:t>
      </w:r>
    </w:p>
    <w:p>
      <w:pPr>
        <w:pStyle w:val="Heading2"/>
      </w:pPr>
      <w:r>
        <w:t>4.2 Architectural Approach</w:t>
      </w:r>
    </w:p>
    <w:p>
      <w:r>
        <w:t>The framework will follow the existing Flask and SQLite architecture used by NHPSG Manager. Care Guidance will be implemented as a shared application service rather than embedded directly inside Medication, Behaviour, BM Tracking, Care Tasks, Housekeeping, or other operational modules.</w:t>
      </w:r>
    </w:p>
    <w:p>
      <w:pPr>
        <w:pStyle w:val="ListBullet"/>
      </w:pPr>
      <w:r>
        <w:t>Operational modules request applicable guidance through shared helper functions.</w:t>
      </w:r>
    </w:p>
    <w:p>
      <w:pPr>
        <w:pStyle w:val="ListBullet"/>
      </w:pPr>
      <w:r>
        <w:t>Management routes create, revise, archive, and review guidance.</w:t>
      </w:r>
    </w:p>
    <w:p>
      <w:pPr>
        <w:pStyle w:val="ListBullet"/>
      </w:pPr>
      <w:r>
        <w:t>Operational screens display guidance through reusable partial templates.</w:t>
      </w:r>
    </w:p>
    <w:p>
      <w:pPr>
        <w:pStyle w:val="ListBullet"/>
      </w:pPr>
      <w:r>
        <w:t>All changes are recorded in the Activity Log.</w:t>
      </w:r>
    </w:p>
    <w:p>
      <w:pPr>
        <w:pStyle w:val="ListBullet"/>
      </w:pPr>
      <w:r>
        <w:t>Historical guidance versions remain available for audit and reporting.</w:t>
      </w:r>
    </w:p>
    <w:p>
      <w:pPr>
        <w:pStyle w:val="Heading2"/>
      </w:pPr>
      <w:r>
        <w:t>4.3 Application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Layer</w:t>
            </w:r>
          </w:p>
        </w:tc>
        <w:tc>
          <w:tcPr>
            <w:tcW w:type="dxa" w:w="3360"/>
            <w:vAlign w:val="center"/>
            <w:shd w:fill="D9EAF7"/>
          </w:tcPr>
          <w:p>
            <w:r/>
            <w:r>
              <w:rPr>
                <w:rFonts w:ascii="Arial" w:hAnsi="Arial"/>
                <w:b/>
                <w:sz w:val="18"/>
              </w:rPr>
              <w:t>Responsibility</w:t>
            </w:r>
          </w:p>
        </w:tc>
        <w:tc>
          <w:tcPr>
            <w:tcW w:type="dxa" w:w="3360"/>
            <w:vAlign w:val="center"/>
            <w:shd w:fill="D9EAF7"/>
          </w:tcPr>
          <w:p>
            <w:r/>
            <w:r>
              <w:rPr>
                <w:rFonts w:ascii="Arial" w:hAnsi="Arial"/>
                <w:b/>
                <w:sz w:val="18"/>
              </w:rPr>
              <w:t>Examples</w:t>
            </w:r>
          </w:p>
        </w:tc>
      </w:tr>
      <w:tr>
        <w:tc>
          <w:tcPr>
            <w:tcW w:type="dxa" w:w="3360"/>
            <w:vAlign w:val="center"/>
          </w:tcPr>
          <w:p>
            <w:r/>
            <w:r>
              <w:rPr>
                <w:rFonts w:ascii="Arial" w:hAnsi="Arial"/>
                <w:b w:val="0"/>
                <w:sz w:val="18"/>
              </w:rPr>
              <w:t>Presentation Layer</w:t>
            </w:r>
          </w:p>
        </w:tc>
        <w:tc>
          <w:tcPr>
            <w:tcW w:type="dxa" w:w="3360"/>
            <w:vAlign w:val="center"/>
          </w:tcPr>
          <w:p>
            <w:r/>
            <w:r>
              <w:rPr>
                <w:rFonts w:ascii="Arial" w:hAnsi="Arial"/>
                <w:b w:val="0"/>
                <w:sz w:val="18"/>
              </w:rPr>
              <w:t>Displays guidance to Support Workers and management users.</w:t>
            </w:r>
          </w:p>
        </w:tc>
        <w:tc>
          <w:tcPr>
            <w:tcW w:type="dxa" w:w="3360"/>
            <w:vAlign w:val="center"/>
          </w:tcPr>
          <w:p>
            <w:r/>
            <w:r>
              <w:rPr>
                <w:rFonts w:ascii="Arial" w:hAnsi="Arial"/>
                <w:b w:val="0"/>
                <w:sz w:val="18"/>
              </w:rPr>
              <w:t>Guidance panel, list screen, create/edit forms, history view</w:t>
            </w:r>
          </w:p>
        </w:tc>
      </w:tr>
      <w:tr>
        <w:tc>
          <w:tcPr>
            <w:tcW w:type="dxa" w:w="3360"/>
            <w:vAlign w:val="center"/>
          </w:tcPr>
          <w:p>
            <w:r/>
            <w:r>
              <w:rPr>
                <w:rFonts w:ascii="Arial" w:hAnsi="Arial"/>
                <w:b w:val="0"/>
                <w:sz w:val="18"/>
              </w:rPr>
              <w:t>Route Layer</w:t>
            </w:r>
          </w:p>
        </w:tc>
        <w:tc>
          <w:tcPr>
            <w:tcW w:type="dxa" w:w="3360"/>
            <w:vAlign w:val="center"/>
          </w:tcPr>
          <w:p>
            <w:r/>
            <w:r>
              <w:rPr>
                <w:rFonts w:ascii="Arial" w:hAnsi="Arial"/>
                <w:b w:val="0"/>
                <w:sz w:val="18"/>
              </w:rPr>
              <w:t>Handles requests, authorization, validation, and redirects.</w:t>
            </w:r>
          </w:p>
        </w:tc>
        <w:tc>
          <w:tcPr>
            <w:tcW w:type="dxa" w:w="3360"/>
            <w:vAlign w:val="center"/>
          </w:tcPr>
          <w:p>
            <w:r/>
            <w:r>
              <w:rPr>
                <w:rFonts w:ascii="Arial" w:hAnsi="Arial"/>
                <w:b w:val="0"/>
                <w:sz w:val="18"/>
              </w:rPr>
              <w:t>List, create, edit, archive, history, point-of-care retrieval</w:t>
            </w:r>
          </w:p>
        </w:tc>
      </w:tr>
      <w:tr>
        <w:tc>
          <w:tcPr>
            <w:tcW w:type="dxa" w:w="3360"/>
            <w:vAlign w:val="center"/>
          </w:tcPr>
          <w:p>
            <w:r/>
            <w:r>
              <w:rPr>
                <w:rFonts w:ascii="Arial" w:hAnsi="Arial"/>
                <w:b w:val="0"/>
                <w:sz w:val="18"/>
              </w:rPr>
              <w:t>Service/Helper Layer</w:t>
            </w:r>
          </w:p>
        </w:tc>
        <w:tc>
          <w:tcPr>
            <w:tcW w:type="dxa" w:w="3360"/>
            <w:vAlign w:val="center"/>
          </w:tcPr>
          <w:p>
            <w:r/>
            <w:r>
              <w:rPr>
                <w:rFonts w:ascii="Arial" w:hAnsi="Arial"/>
                <w:b w:val="0"/>
                <w:sz w:val="18"/>
              </w:rPr>
              <w:t>Contains reusable business logic independent of individual modules.</w:t>
            </w:r>
          </w:p>
        </w:tc>
        <w:tc>
          <w:tcPr>
            <w:tcW w:type="dxa" w:w="3360"/>
            <w:vAlign w:val="center"/>
          </w:tcPr>
          <w:p>
            <w:r/>
            <w:r>
              <w:rPr>
                <w:rFonts w:ascii="Arial" w:hAnsi="Arial"/>
                <w:b w:val="0"/>
                <w:sz w:val="18"/>
              </w:rPr>
              <w:t>Get active guidance, create version, archive version, validate target</w:t>
            </w:r>
          </w:p>
        </w:tc>
      </w:tr>
      <w:tr>
        <w:tc>
          <w:tcPr>
            <w:tcW w:type="dxa" w:w="3360"/>
            <w:vAlign w:val="center"/>
          </w:tcPr>
          <w:p>
            <w:r/>
            <w:r>
              <w:rPr>
                <w:rFonts w:ascii="Arial" w:hAnsi="Arial"/>
                <w:b w:val="0"/>
                <w:sz w:val="18"/>
              </w:rPr>
              <w:t>Data Layer</w:t>
            </w:r>
          </w:p>
        </w:tc>
        <w:tc>
          <w:tcPr>
            <w:tcW w:type="dxa" w:w="3360"/>
            <w:vAlign w:val="center"/>
          </w:tcPr>
          <w:p>
            <w:r/>
            <w:r>
              <w:rPr>
                <w:rFonts w:ascii="Arial" w:hAnsi="Arial"/>
                <w:b w:val="0"/>
                <w:sz w:val="18"/>
              </w:rPr>
              <w:t>Stores current and historical guidance records.</w:t>
            </w:r>
          </w:p>
        </w:tc>
        <w:tc>
          <w:tcPr>
            <w:tcW w:type="dxa" w:w="3360"/>
            <w:vAlign w:val="center"/>
          </w:tcPr>
          <w:p>
            <w:r/>
            <w:r>
              <w:rPr>
                <w:rFonts w:ascii="Arial" w:hAnsi="Arial"/>
                <w:b w:val="0"/>
                <w:sz w:val="18"/>
              </w:rPr>
              <w:t>care_guidance and related future tables</w:t>
            </w:r>
          </w:p>
        </w:tc>
      </w:tr>
      <w:tr>
        <w:tc>
          <w:tcPr>
            <w:tcW w:type="dxa" w:w="3360"/>
            <w:vAlign w:val="center"/>
          </w:tcPr>
          <w:p>
            <w:r/>
            <w:r>
              <w:rPr>
                <w:rFonts w:ascii="Arial" w:hAnsi="Arial"/>
                <w:b w:val="0"/>
                <w:sz w:val="18"/>
              </w:rPr>
              <w:t>Audit Layer</w:t>
            </w:r>
          </w:p>
        </w:tc>
        <w:tc>
          <w:tcPr>
            <w:tcW w:type="dxa" w:w="3360"/>
            <w:vAlign w:val="center"/>
          </w:tcPr>
          <w:p>
            <w:r/>
            <w:r>
              <w:rPr>
                <w:rFonts w:ascii="Arial" w:hAnsi="Arial"/>
                <w:b w:val="0"/>
                <w:sz w:val="18"/>
              </w:rPr>
              <w:t>Records framework lifecycle events.</w:t>
            </w:r>
          </w:p>
        </w:tc>
        <w:tc>
          <w:tcPr>
            <w:tcW w:type="dxa" w:w="3360"/>
            <w:vAlign w:val="center"/>
          </w:tcPr>
          <w:p>
            <w:r/>
            <w:r>
              <w:rPr>
                <w:rFonts w:ascii="Arial" w:hAnsi="Arial"/>
                <w:b w:val="0"/>
                <w:sz w:val="18"/>
              </w:rPr>
              <w:t>Activity Log entries for create, revise, archive, restore, and review</w:t>
            </w:r>
          </w:p>
        </w:tc>
      </w:tr>
    </w:tbl>
    <w:p>
      <w:pPr>
        <w:pStyle w:val="Heading2"/>
      </w:pPr>
      <w:r>
        <w:t>4.4 Reusable Helper Functions</w:t>
      </w:r>
    </w:p>
    <w:p>
      <w:r>
        <w:t>The following shared helpers are proposed for Version 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Helper</w:t>
            </w:r>
          </w:p>
        </w:tc>
        <w:tc>
          <w:tcPr>
            <w:tcW w:type="dxa" w:w="3360"/>
            <w:vAlign w:val="center"/>
            <w:shd w:fill="D9EAF7"/>
          </w:tcPr>
          <w:p>
            <w:r/>
            <w:r>
              <w:rPr>
                <w:rFonts w:ascii="Arial" w:hAnsi="Arial"/>
                <w:b/>
                <w:sz w:val="18"/>
              </w:rPr>
              <w:t>Purpose</w:t>
            </w:r>
          </w:p>
        </w:tc>
        <w:tc>
          <w:tcPr>
            <w:tcW w:type="dxa" w:w="3360"/>
            <w:vAlign w:val="center"/>
            <w:shd w:fill="D9EAF7"/>
          </w:tcPr>
          <w:p>
            <w:r/>
            <w:r>
              <w:rPr>
                <w:rFonts w:ascii="Arial" w:hAnsi="Arial"/>
                <w:b/>
                <w:sz w:val="18"/>
              </w:rPr>
              <w:t>Typical Caller</w:t>
            </w:r>
          </w:p>
        </w:tc>
      </w:tr>
      <w:tr>
        <w:tc>
          <w:tcPr>
            <w:tcW w:type="dxa" w:w="3360"/>
            <w:vAlign w:val="center"/>
          </w:tcPr>
          <w:p>
            <w:r/>
            <w:r>
              <w:rPr>
                <w:rFonts w:ascii="Arial" w:hAnsi="Arial"/>
                <w:b w:val="0"/>
                <w:sz w:val="18"/>
              </w:rPr>
              <w:t>get_active_care_guidance(client_id, module_name, reference_table=None, reference_id=None)</w:t>
            </w:r>
          </w:p>
        </w:tc>
        <w:tc>
          <w:tcPr>
            <w:tcW w:type="dxa" w:w="3360"/>
            <w:vAlign w:val="center"/>
          </w:tcPr>
          <w:p>
            <w:r/>
            <w:r>
              <w:rPr>
                <w:rFonts w:ascii="Arial" w:hAnsi="Arial"/>
                <w:b w:val="0"/>
                <w:sz w:val="18"/>
              </w:rPr>
              <w:t>Returns all active guidance applicable to the current context.</w:t>
            </w:r>
          </w:p>
        </w:tc>
        <w:tc>
          <w:tcPr>
            <w:tcW w:type="dxa" w:w="3360"/>
            <w:vAlign w:val="center"/>
          </w:tcPr>
          <w:p>
            <w:r/>
            <w:r>
              <w:rPr>
                <w:rFonts w:ascii="Arial" w:hAnsi="Arial"/>
                <w:b w:val="0"/>
                <w:sz w:val="18"/>
              </w:rPr>
              <w:t>Medication administration, BM entry, care task, behaviour entry</w:t>
            </w:r>
          </w:p>
        </w:tc>
      </w:tr>
      <w:tr>
        <w:tc>
          <w:tcPr>
            <w:tcW w:type="dxa" w:w="3360"/>
            <w:vAlign w:val="center"/>
          </w:tcPr>
          <w:p>
            <w:r/>
            <w:r>
              <w:rPr>
                <w:rFonts w:ascii="Arial" w:hAnsi="Arial"/>
                <w:b w:val="0"/>
                <w:sz w:val="18"/>
              </w:rPr>
              <w:t>get_care_guidance_history(guidance_id)</w:t>
            </w:r>
          </w:p>
        </w:tc>
        <w:tc>
          <w:tcPr>
            <w:tcW w:type="dxa" w:w="3360"/>
            <w:vAlign w:val="center"/>
          </w:tcPr>
          <w:p>
            <w:r/>
            <w:r>
              <w:rPr>
                <w:rFonts w:ascii="Arial" w:hAnsi="Arial"/>
                <w:b w:val="0"/>
                <w:sz w:val="18"/>
              </w:rPr>
              <w:t>Returns previous versions of a guidance item.</w:t>
            </w:r>
          </w:p>
        </w:tc>
        <w:tc>
          <w:tcPr>
            <w:tcW w:type="dxa" w:w="3360"/>
            <w:vAlign w:val="center"/>
          </w:tcPr>
          <w:p>
            <w:r/>
            <w:r>
              <w:rPr>
                <w:rFonts w:ascii="Arial" w:hAnsi="Arial"/>
                <w:b w:val="0"/>
                <w:sz w:val="18"/>
              </w:rPr>
              <w:t>Management history screen and reports</w:t>
            </w:r>
          </w:p>
        </w:tc>
      </w:tr>
      <w:tr>
        <w:tc>
          <w:tcPr>
            <w:tcW w:type="dxa" w:w="3360"/>
            <w:vAlign w:val="center"/>
          </w:tcPr>
          <w:p>
            <w:r/>
            <w:r>
              <w:rPr>
                <w:rFonts w:ascii="Arial" w:hAnsi="Arial"/>
                <w:b w:val="0"/>
                <w:sz w:val="18"/>
              </w:rPr>
              <w:t>validate_care_guidance_target(...)</w:t>
            </w:r>
          </w:p>
        </w:tc>
        <w:tc>
          <w:tcPr>
            <w:tcW w:type="dxa" w:w="3360"/>
            <w:vAlign w:val="center"/>
          </w:tcPr>
          <w:p>
            <w:r/>
            <w:r>
              <w:rPr>
                <w:rFonts w:ascii="Arial" w:hAnsi="Arial"/>
                <w:b w:val="0"/>
                <w:sz w:val="18"/>
              </w:rPr>
              <w:t>Confirms that the selected module and optional target record are valid.</w:t>
            </w:r>
          </w:p>
        </w:tc>
        <w:tc>
          <w:tcPr>
            <w:tcW w:type="dxa" w:w="3360"/>
            <w:vAlign w:val="center"/>
          </w:tcPr>
          <w:p>
            <w:r/>
            <w:r>
              <w:rPr>
                <w:rFonts w:ascii="Arial" w:hAnsi="Arial"/>
                <w:b w:val="0"/>
                <w:sz w:val="18"/>
              </w:rPr>
              <w:t>Create and edit routes</w:t>
            </w:r>
          </w:p>
        </w:tc>
      </w:tr>
      <w:tr>
        <w:tc>
          <w:tcPr>
            <w:tcW w:type="dxa" w:w="3360"/>
            <w:vAlign w:val="center"/>
          </w:tcPr>
          <w:p>
            <w:r/>
            <w:r>
              <w:rPr>
                <w:rFonts w:ascii="Arial" w:hAnsi="Arial"/>
                <w:b w:val="0"/>
                <w:sz w:val="18"/>
              </w:rPr>
              <w:t>create_care_guidance_version(...)</w:t>
            </w:r>
          </w:p>
        </w:tc>
        <w:tc>
          <w:tcPr>
            <w:tcW w:type="dxa" w:w="3360"/>
            <w:vAlign w:val="center"/>
          </w:tcPr>
          <w:p>
            <w:r/>
            <w:r>
              <w:rPr>
                <w:rFonts w:ascii="Arial" w:hAnsi="Arial"/>
                <w:b w:val="0"/>
                <w:sz w:val="18"/>
              </w:rPr>
              <w:t>Archives the current version and creates a new active version.</w:t>
            </w:r>
          </w:p>
        </w:tc>
        <w:tc>
          <w:tcPr>
            <w:tcW w:type="dxa" w:w="3360"/>
            <w:vAlign w:val="center"/>
          </w:tcPr>
          <w:p>
            <w:r/>
            <w:r>
              <w:rPr>
                <w:rFonts w:ascii="Arial" w:hAnsi="Arial"/>
                <w:b w:val="0"/>
                <w:sz w:val="18"/>
              </w:rPr>
              <w:t>Edit route</w:t>
            </w:r>
          </w:p>
        </w:tc>
      </w:tr>
      <w:tr>
        <w:tc>
          <w:tcPr>
            <w:tcW w:type="dxa" w:w="3360"/>
            <w:vAlign w:val="center"/>
          </w:tcPr>
          <w:p>
            <w:r/>
            <w:r>
              <w:rPr>
                <w:rFonts w:ascii="Arial" w:hAnsi="Arial"/>
                <w:b w:val="0"/>
                <w:sz w:val="18"/>
              </w:rPr>
              <w:t>archive_care_guidance(guidance_id, user_id)</w:t>
            </w:r>
          </w:p>
        </w:tc>
        <w:tc>
          <w:tcPr>
            <w:tcW w:type="dxa" w:w="3360"/>
            <w:vAlign w:val="center"/>
          </w:tcPr>
          <w:p>
            <w:r/>
            <w:r>
              <w:rPr>
                <w:rFonts w:ascii="Arial" w:hAnsi="Arial"/>
                <w:b w:val="0"/>
                <w:sz w:val="18"/>
              </w:rPr>
              <w:t>Deactivates guidance without deleting history.</w:t>
            </w:r>
          </w:p>
        </w:tc>
        <w:tc>
          <w:tcPr>
            <w:tcW w:type="dxa" w:w="3360"/>
            <w:vAlign w:val="center"/>
          </w:tcPr>
          <w:p>
            <w:r/>
            <w:r>
              <w:rPr>
                <w:rFonts w:ascii="Arial" w:hAnsi="Arial"/>
                <w:b w:val="0"/>
                <w:sz w:val="18"/>
              </w:rPr>
              <w:t>Archive route</w:t>
            </w:r>
          </w:p>
        </w:tc>
      </w:tr>
      <w:tr>
        <w:tc>
          <w:tcPr>
            <w:tcW w:type="dxa" w:w="3360"/>
            <w:vAlign w:val="center"/>
          </w:tcPr>
          <w:p>
            <w:r/>
            <w:r>
              <w:rPr>
                <w:rFonts w:ascii="Arial" w:hAnsi="Arial"/>
                <w:b w:val="0"/>
                <w:sz w:val="18"/>
              </w:rPr>
              <w:t>log_care_guidance_activity(...)</w:t>
            </w:r>
          </w:p>
        </w:tc>
        <w:tc>
          <w:tcPr>
            <w:tcW w:type="dxa" w:w="3360"/>
            <w:vAlign w:val="center"/>
          </w:tcPr>
          <w:p>
            <w:r/>
            <w:r>
              <w:rPr>
                <w:rFonts w:ascii="Arial" w:hAnsi="Arial"/>
                <w:b w:val="0"/>
                <w:sz w:val="18"/>
              </w:rPr>
              <w:t>Writes a consistent Activity Log record.</w:t>
            </w:r>
          </w:p>
        </w:tc>
        <w:tc>
          <w:tcPr>
            <w:tcW w:type="dxa" w:w="3360"/>
            <w:vAlign w:val="center"/>
          </w:tcPr>
          <w:p>
            <w:r/>
            <w:r>
              <w:rPr>
                <w:rFonts w:ascii="Arial" w:hAnsi="Arial"/>
                <w:b w:val="0"/>
                <w:sz w:val="18"/>
              </w:rPr>
              <w:t>All write operations</w:t>
            </w:r>
          </w:p>
        </w:tc>
      </w:tr>
    </w:tbl>
    <w:p>
      <w:pPr>
        <w:pStyle w:val="Heading2"/>
      </w:pPr>
      <w:r>
        <w:t>4.5 Guidance Target Resolution</w:t>
      </w:r>
    </w:p>
    <w:p>
      <w:r>
        <w:t>The framework must determine which guidance applies to the current operational context. Version 1 will support a simple hierarchy so that broad guidance and highly specific guidance can coexist.</w:t>
      </w:r>
    </w:p>
    <w:p>
      <w:pPr>
        <w:pStyle w:val="ListBullet"/>
      </w:pPr>
      <w:r>
        <w:t>Client-wide guidance: applies across the client record.</w:t>
      </w:r>
    </w:p>
    <w:p>
      <w:pPr>
        <w:pStyle w:val="ListBullet"/>
      </w:pPr>
      <w:r>
        <w:t>Module-wide guidance: applies to all records in a module, such as all Medication activities.</w:t>
      </w:r>
    </w:p>
    <w:p>
      <w:pPr>
        <w:pStyle w:val="ListBullet"/>
      </w:pPr>
      <w:r>
        <w:t>Record-specific guidance: applies to one medication, care task, behaviour strategy, or other referenced item.</w:t>
      </w:r>
    </w:p>
    <w:p>
      <w:r>
        <w:t>When more than one guidance item applies, the operational screen will display all active items in priority order. Critical guidance will appear first, followed by Important and Information guidance.</w:t>
      </w:r>
    </w:p>
    <w:p>
      <w:pPr>
        <w:pStyle w:val="Heading2"/>
      </w:pPr>
      <w:r>
        <w:t>4.6 Route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Route</w:t>
            </w:r>
          </w:p>
        </w:tc>
        <w:tc>
          <w:tcPr>
            <w:tcW w:type="dxa" w:w="2520"/>
            <w:vAlign w:val="center"/>
            <w:shd w:fill="D9EAF7"/>
          </w:tcPr>
          <w:p>
            <w:r/>
            <w:r>
              <w:rPr>
                <w:rFonts w:ascii="Arial" w:hAnsi="Arial"/>
                <w:b/>
                <w:sz w:val="18"/>
              </w:rPr>
              <w:t>Method</w:t>
            </w:r>
          </w:p>
        </w:tc>
        <w:tc>
          <w:tcPr>
            <w:tcW w:type="dxa" w:w="2520"/>
            <w:vAlign w:val="center"/>
            <w:shd w:fill="D9EAF7"/>
          </w:tcPr>
          <w:p>
            <w:r/>
            <w:r>
              <w:rPr>
                <w:rFonts w:ascii="Arial" w:hAnsi="Arial"/>
                <w:b/>
                <w:sz w:val="18"/>
              </w:rPr>
              <w:t>Purpose</w:t>
            </w:r>
          </w:p>
        </w:tc>
        <w:tc>
          <w:tcPr>
            <w:tcW w:type="dxa" w:w="2520"/>
            <w:vAlign w:val="center"/>
            <w:shd w:fill="D9EAF7"/>
          </w:tcPr>
          <w:p>
            <w:r/>
            <w:r>
              <w:rPr>
                <w:rFonts w:ascii="Arial" w:hAnsi="Arial"/>
                <w:b/>
                <w:sz w:val="18"/>
              </w:rPr>
              <w:t>Access</w:t>
            </w:r>
          </w:p>
        </w:tc>
      </w:tr>
      <w:tr>
        <w:tc>
          <w:tcPr>
            <w:tcW w:type="dxa" w:w="2520"/>
            <w:vAlign w:val="center"/>
          </w:tcPr>
          <w:p>
            <w:r/>
            <w:r>
              <w:rPr>
                <w:rFonts w:ascii="Arial" w:hAnsi="Arial"/>
                <w:b w:val="0"/>
                <w:sz w:val="18"/>
              </w:rPr>
              <w:t>/care-guidance</w:t>
            </w:r>
          </w:p>
        </w:tc>
        <w:tc>
          <w:tcPr>
            <w:tcW w:type="dxa" w:w="2520"/>
            <w:vAlign w:val="center"/>
          </w:tcPr>
          <w:p>
            <w:r/>
            <w:r>
              <w:rPr>
                <w:rFonts w:ascii="Arial" w:hAnsi="Arial"/>
                <w:b w:val="0"/>
                <w:sz w:val="18"/>
              </w:rPr>
              <w:t>GET</w:t>
            </w:r>
          </w:p>
        </w:tc>
        <w:tc>
          <w:tcPr>
            <w:tcW w:type="dxa" w:w="2520"/>
            <w:vAlign w:val="center"/>
          </w:tcPr>
          <w:p>
            <w:r/>
            <w:r>
              <w:rPr>
                <w:rFonts w:ascii="Arial" w:hAnsi="Arial"/>
                <w:b w:val="0"/>
                <w:sz w:val="18"/>
              </w:rPr>
              <w:t>List and filter guidance records.</w:t>
            </w:r>
          </w:p>
        </w:tc>
        <w:tc>
          <w:tcPr>
            <w:tcW w:type="dxa" w:w="2520"/>
            <w:vAlign w:val="center"/>
          </w:tcPr>
          <w:p>
            <w:r/>
            <w:r>
              <w:rPr>
                <w:rFonts w:ascii="Arial" w:hAnsi="Arial"/>
                <w:b w:val="0"/>
                <w:sz w:val="18"/>
              </w:rPr>
              <w:t>Admin, Program Manager, Director</w:t>
            </w:r>
          </w:p>
        </w:tc>
      </w:tr>
      <w:tr>
        <w:tc>
          <w:tcPr>
            <w:tcW w:type="dxa" w:w="2520"/>
            <w:vAlign w:val="center"/>
          </w:tcPr>
          <w:p>
            <w:r/>
            <w:r>
              <w:rPr>
                <w:rFonts w:ascii="Arial" w:hAnsi="Arial"/>
                <w:b w:val="0"/>
                <w:sz w:val="18"/>
              </w:rPr>
              <w:t>/care-guidance/new</w:t>
            </w:r>
          </w:p>
        </w:tc>
        <w:tc>
          <w:tcPr>
            <w:tcW w:type="dxa" w:w="2520"/>
            <w:vAlign w:val="center"/>
          </w:tcPr>
          <w:p>
            <w:r/>
            <w:r>
              <w:rPr>
                <w:rFonts w:ascii="Arial" w:hAnsi="Arial"/>
                <w:b w:val="0"/>
                <w:sz w:val="18"/>
              </w:rPr>
              <w:t>GET/POST</w:t>
            </w:r>
          </w:p>
        </w:tc>
        <w:tc>
          <w:tcPr>
            <w:tcW w:type="dxa" w:w="2520"/>
            <w:vAlign w:val="center"/>
          </w:tcPr>
          <w:p>
            <w:r/>
            <w:r>
              <w:rPr>
                <w:rFonts w:ascii="Arial" w:hAnsi="Arial"/>
                <w:b w:val="0"/>
                <w:sz w:val="18"/>
              </w:rPr>
              <w:t>Create a new guidance record.</w:t>
            </w:r>
          </w:p>
        </w:tc>
        <w:tc>
          <w:tcPr>
            <w:tcW w:type="dxa" w:w="2520"/>
            <w:vAlign w:val="center"/>
          </w:tcPr>
          <w:p>
            <w:r/>
            <w:r>
              <w:rPr>
                <w:rFonts w:ascii="Arial" w:hAnsi="Arial"/>
                <w:b w:val="0"/>
                <w:sz w:val="18"/>
              </w:rPr>
              <w:t>Authorized management roles</w:t>
            </w:r>
          </w:p>
        </w:tc>
      </w:tr>
      <w:tr>
        <w:tc>
          <w:tcPr>
            <w:tcW w:type="dxa" w:w="2520"/>
            <w:vAlign w:val="center"/>
          </w:tcPr>
          <w:p>
            <w:r/>
            <w:r>
              <w:rPr>
                <w:rFonts w:ascii="Arial" w:hAnsi="Arial"/>
                <w:b w:val="0"/>
                <w:sz w:val="18"/>
              </w:rPr>
              <w:t>/care-guidance/&lt;guidance_id&gt;/edit</w:t>
            </w:r>
          </w:p>
        </w:tc>
        <w:tc>
          <w:tcPr>
            <w:tcW w:type="dxa" w:w="2520"/>
            <w:vAlign w:val="center"/>
          </w:tcPr>
          <w:p>
            <w:r/>
            <w:r>
              <w:rPr>
                <w:rFonts w:ascii="Arial" w:hAnsi="Arial"/>
                <w:b w:val="0"/>
                <w:sz w:val="18"/>
              </w:rPr>
              <w:t>GET/POST</w:t>
            </w:r>
          </w:p>
        </w:tc>
        <w:tc>
          <w:tcPr>
            <w:tcW w:type="dxa" w:w="2520"/>
            <w:vAlign w:val="center"/>
          </w:tcPr>
          <w:p>
            <w:r/>
            <w:r>
              <w:rPr>
                <w:rFonts w:ascii="Arial" w:hAnsi="Arial"/>
                <w:b w:val="0"/>
                <w:sz w:val="18"/>
              </w:rPr>
              <w:t>Create a revised version of existing guidance.</w:t>
            </w:r>
          </w:p>
        </w:tc>
        <w:tc>
          <w:tcPr>
            <w:tcW w:type="dxa" w:w="2520"/>
            <w:vAlign w:val="center"/>
          </w:tcPr>
          <w:p>
            <w:r/>
            <w:r>
              <w:rPr>
                <w:rFonts w:ascii="Arial" w:hAnsi="Arial"/>
                <w:b w:val="0"/>
                <w:sz w:val="18"/>
              </w:rPr>
              <w:t>Authorized management roles</w:t>
            </w:r>
          </w:p>
        </w:tc>
      </w:tr>
      <w:tr>
        <w:tc>
          <w:tcPr>
            <w:tcW w:type="dxa" w:w="2520"/>
            <w:vAlign w:val="center"/>
          </w:tcPr>
          <w:p>
            <w:r/>
            <w:r>
              <w:rPr>
                <w:rFonts w:ascii="Arial" w:hAnsi="Arial"/>
                <w:b w:val="0"/>
                <w:sz w:val="18"/>
              </w:rPr>
              <w:t>/care-guidance/&lt;guidance_id&gt;/archive</w:t>
            </w:r>
          </w:p>
        </w:tc>
        <w:tc>
          <w:tcPr>
            <w:tcW w:type="dxa" w:w="2520"/>
            <w:vAlign w:val="center"/>
          </w:tcPr>
          <w:p>
            <w:r/>
            <w:r>
              <w:rPr>
                <w:rFonts w:ascii="Arial" w:hAnsi="Arial"/>
                <w:b w:val="0"/>
                <w:sz w:val="18"/>
              </w:rPr>
              <w:t>POST</w:t>
            </w:r>
          </w:p>
        </w:tc>
        <w:tc>
          <w:tcPr>
            <w:tcW w:type="dxa" w:w="2520"/>
            <w:vAlign w:val="center"/>
          </w:tcPr>
          <w:p>
            <w:r/>
            <w:r>
              <w:rPr>
                <w:rFonts w:ascii="Arial" w:hAnsi="Arial"/>
                <w:b w:val="0"/>
                <w:sz w:val="18"/>
              </w:rPr>
              <w:t>Archive active guidance.</w:t>
            </w:r>
          </w:p>
        </w:tc>
        <w:tc>
          <w:tcPr>
            <w:tcW w:type="dxa" w:w="2520"/>
            <w:vAlign w:val="center"/>
          </w:tcPr>
          <w:p>
            <w:r/>
            <w:r>
              <w:rPr>
                <w:rFonts w:ascii="Arial" w:hAnsi="Arial"/>
                <w:b w:val="0"/>
                <w:sz w:val="18"/>
              </w:rPr>
              <w:t>Authorized management roles</w:t>
            </w:r>
          </w:p>
        </w:tc>
      </w:tr>
      <w:tr>
        <w:tc>
          <w:tcPr>
            <w:tcW w:type="dxa" w:w="2520"/>
            <w:vAlign w:val="center"/>
          </w:tcPr>
          <w:p>
            <w:r/>
            <w:r>
              <w:rPr>
                <w:rFonts w:ascii="Arial" w:hAnsi="Arial"/>
                <w:b w:val="0"/>
                <w:sz w:val="18"/>
              </w:rPr>
              <w:t>/care-guidance/&lt;guidance_id&gt;/history</w:t>
            </w:r>
          </w:p>
        </w:tc>
        <w:tc>
          <w:tcPr>
            <w:tcW w:type="dxa" w:w="2520"/>
            <w:vAlign w:val="center"/>
          </w:tcPr>
          <w:p>
            <w:r/>
            <w:r>
              <w:rPr>
                <w:rFonts w:ascii="Arial" w:hAnsi="Arial"/>
                <w:b w:val="0"/>
                <w:sz w:val="18"/>
              </w:rPr>
              <w:t>GET</w:t>
            </w:r>
          </w:p>
        </w:tc>
        <w:tc>
          <w:tcPr>
            <w:tcW w:type="dxa" w:w="2520"/>
            <w:vAlign w:val="center"/>
          </w:tcPr>
          <w:p>
            <w:r/>
            <w:r>
              <w:rPr>
                <w:rFonts w:ascii="Arial" w:hAnsi="Arial"/>
                <w:b w:val="0"/>
                <w:sz w:val="18"/>
              </w:rPr>
              <w:t>View version history.</w:t>
            </w:r>
          </w:p>
        </w:tc>
        <w:tc>
          <w:tcPr>
            <w:tcW w:type="dxa" w:w="2520"/>
            <w:vAlign w:val="center"/>
          </w:tcPr>
          <w:p>
            <w:r/>
            <w:r>
              <w:rPr>
                <w:rFonts w:ascii="Arial" w:hAnsi="Arial"/>
                <w:b w:val="0"/>
                <w:sz w:val="18"/>
              </w:rPr>
              <w:t>Authorized management roles</w:t>
            </w:r>
          </w:p>
        </w:tc>
      </w:tr>
      <w:tr>
        <w:tc>
          <w:tcPr>
            <w:tcW w:type="dxa" w:w="2520"/>
            <w:vAlign w:val="center"/>
          </w:tcPr>
          <w:p>
            <w:r/>
            <w:r>
              <w:rPr>
                <w:rFonts w:ascii="Arial" w:hAnsi="Arial"/>
                <w:b w:val="0"/>
                <w:sz w:val="18"/>
              </w:rPr>
              <w:t>Operational module route</w:t>
            </w:r>
          </w:p>
        </w:tc>
        <w:tc>
          <w:tcPr>
            <w:tcW w:type="dxa" w:w="2520"/>
            <w:vAlign w:val="center"/>
          </w:tcPr>
          <w:p>
            <w:r/>
            <w:r>
              <w:rPr>
                <w:rFonts w:ascii="Arial" w:hAnsi="Arial"/>
                <w:b w:val="0"/>
                <w:sz w:val="18"/>
              </w:rPr>
              <w:t>GET</w:t>
            </w:r>
          </w:p>
        </w:tc>
        <w:tc>
          <w:tcPr>
            <w:tcW w:type="dxa" w:w="2520"/>
            <w:vAlign w:val="center"/>
          </w:tcPr>
          <w:p>
            <w:r/>
            <w:r>
              <w:rPr>
                <w:rFonts w:ascii="Arial" w:hAnsi="Arial"/>
                <w:b w:val="0"/>
                <w:sz w:val="18"/>
              </w:rPr>
              <w:t>Loads applicable guidance through the shared helper.</w:t>
            </w:r>
          </w:p>
        </w:tc>
        <w:tc>
          <w:tcPr>
            <w:tcW w:type="dxa" w:w="2520"/>
            <w:vAlign w:val="center"/>
          </w:tcPr>
          <w:p>
            <w:r/>
            <w:r>
              <w:rPr>
                <w:rFonts w:ascii="Arial" w:hAnsi="Arial"/>
                <w:b w:val="0"/>
                <w:sz w:val="18"/>
              </w:rPr>
              <w:t>Role permitted to perform the operational task</w:t>
            </w:r>
          </w:p>
        </w:tc>
      </w:tr>
    </w:tbl>
    <w:p>
      <w:pPr>
        <w:pStyle w:val="Heading2"/>
      </w:pPr>
      <w:r>
        <w:t>4.7 Template Architecture</w:t>
      </w:r>
    </w:p>
    <w:p>
      <w:r>
        <w:t>Reusable templates will prevent each operational module from implementing its own guidance display.</w:t>
      </w:r>
    </w:p>
    <w:p>
      <w:pPr>
        <w:pStyle w:val="ListBullet"/>
      </w:pPr>
      <w:r>
        <w:t>care_guidance_list.html - management list and filtering screen.</w:t>
      </w:r>
    </w:p>
    <w:p>
      <w:pPr>
        <w:pStyle w:val="ListBullet"/>
      </w:pPr>
      <w:r>
        <w:t>care_guidance_new.html - create form.</w:t>
      </w:r>
    </w:p>
    <w:p>
      <w:pPr>
        <w:pStyle w:val="ListBullet"/>
      </w:pPr>
      <w:r>
        <w:t>care_guidance_edit.html - revision form.</w:t>
      </w:r>
    </w:p>
    <w:p>
      <w:pPr>
        <w:pStyle w:val="ListBullet"/>
      </w:pPr>
      <w:r>
        <w:t>care_guidance_history.html - version history screen.</w:t>
      </w:r>
    </w:p>
    <w:p>
      <w:pPr>
        <w:pStyle w:val="ListBullet"/>
      </w:pPr>
      <w:r>
        <w:t>_partial_care_guidance_panel.html - shared point-of-care display component.</w:t>
      </w:r>
    </w:p>
    <w:p>
      <w:pPr>
        <w:pStyle w:val="ListBullet"/>
      </w:pPr>
      <w:r>
        <w:t>_partial_care_guidance_badge.html - optional compact priority indicator.</w:t>
      </w:r>
    </w:p>
    <w:p>
      <w:pPr>
        <w:pStyle w:val="Heading2"/>
      </w:pPr>
      <w:r>
        <w:t>4.8 Validation Rules</w:t>
      </w:r>
    </w:p>
    <w:p>
      <w:pPr>
        <w:pStyle w:val="ListBullet"/>
      </w:pPr>
      <w:r>
        <w:t>Client, title, guidance text, priority, and module are required.</w:t>
      </w:r>
    </w:p>
    <w:p>
      <w:pPr>
        <w:pStyle w:val="ListBullet"/>
      </w:pPr>
      <w:r>
        <w:t>Priority must be Information, Important, or Critical.</w:t>
      </w:r>
    </w:p>
    <w:p>
      <w:pPr>
        <w:pStyle w:val="ListBullet"/>
      </w:pPr>
      <w:r>
        <w:t>A reference ID cannot be stored without a valid reference table or target type.</w:t>
      </w:r>
    </w:p>
    <w:p>
      <w:pPr>
        <w:pStyle w:val="ListBullet"/>
      </w:pPr>
      <w:r>
        <w:t>Effective-to date cannot precede effective-from date.</w:t>
      </w:r>
    </w:p>
    <w:p>
      <w:pPr>
        <w:pStyle w:val="ListBullet"/>
      </w:pPr>
      <w:r>
        <w:t>Only one active version of the same version chain may exist.</w:t>
      </w:r>
    </w:p>
    <w:p>
      <w:pPr>
        <w:pStyle w:val="ListBullet"/>
      </w:pPr>
      <w:r>
        <w:t>Archived guidance cannot be edited directly; a new version must be created if it is restored or changed.</w:t>
      </w:r>
    </w:p>
    <w:p>
      <w:pPr>
        <w:pStyle w:val="ListBullet"/>
      </w:pPr>
      <w:r>
        <w:t>All write operations require an authenticated and authorized user.</w:t>
      </w:r>
    </w:p>
    <w:p>
      <w:pPr>
        <w:pStyle w:val="Heading2"/>
      </w:pPr>
      <w:r>
        <w:t>4.9 Error Handling</w:t>
      </w:r>
    </w:p>
    <w:p>
      <w:r>
        <w:t>Validation errors will return the user to the form with previously entered values preserved and a clear explanation of what must be corrected. Missing or invalid targets will not be silently ignored. Unexpected failures will be logged and must not result in partially created versions or an inactive current record.</w:t>
      </w:r>
    </w:p>
    <w:p>
      <w:pPr>
        <w:pStyle w:val="Heading2"/>
      </w:pPr>
      <w:r>
        <w:t>4.10 Activity Log Integration</w:t>
      </w:r>
    </w:p>
    <w:p>
      <w:r>
        <w:t>Every material change to Care Guidance will create an Activity Log entry. Proposed event types are:</w:t>
      </w:r>
    </w:p>
    <w:p>
      <w:pPr>
        <w:pStyle w:val="ListBullet"/>
      </w:pPr>
      <w:r>
        <w:t>care_guidance_created</w:t>
      </w:r>
    </w:p>
    <w:p>
      <w:pPr>
        <w:pStyle w:val="ListBullet"/>
      </w:pPr>
      <w:r>
        <w:t>care_guidance_revised</w:t>
      </w:r>
    </w:p>
    <w:p>
      <w:pPr>
        <w:pStyle w:val="ListBullet"/>
      </w:pPr>
      <w:r>
        <w:t>care_guidance_archived</w:t>
      </w:r>
    </w:p>
    <w:p>
      <w:pPr>
        <w:pStyle w:val="ListBullet"/>
      </w:pPr>
      <w:r>
        <w:t>care_guidance_restored</w:t>
      </w:r>
    </w:p>
    <w:p>
      <w:pPr>
        <w:pStyle w:val="ListBullet"/>
      </w:pPr>
      <w:r>
        <w:t>care_guidance_priority_changed</w:t>
      </w:r>
    </w:p>
    <w:p>
      <w:pPr>
        <w:pStyle w:val="ListBullet"/>
      </w:pPr>
      <w:r>
        <w:t>care_guidance_effective_dates_changed</w:t>
      </w:r>
    </w:p>
    <w:p>
      <w:r>
        <w:t>The Activity Log record should identify the client, user, related guidance record, module, summary of the change, and relevant before-and-after details where appropriate.</w:t>
      </w:r>
    </w:p>
    <w:p>
      <w:pPr>
        <w:pStyle w:val="Heading2"/>
      </w:pPr>
      <w:r>
        <w:t>4.11 Security and Authorization</w:t>
      </w:r>
    </w:p>
    <w:p>
      <w:r>
        <w:t>Support Workers may view guidance that is relevant to the operational work they are permitted to perform. They will not create, edit, archive, or manage guidance in Version 1. Management permissions will be enforced in routes and not only hidden in the user interface.</w:t>
      </w:r>
    </w:p>
    <w:p>
      <w:pPr>
        <w:pStyle w:val="Heading2"/>
      </w:pPr>
      <w:r>
        <w:t>4.12 Application Section Placement</w:t>
      </w:r>
    </w:p>
    <w:p>
      <w:r>
        <w:t>When implementation begins, Care Guidance code should be placed in a clearly identified section of app.py. In keeping with the NHPSG development convention, all code additions must identify the exact existing section header where they belong. If no suitable section exists, the following new section header should be introduced:</w:t>
      </w:r>
    </w:p>
    <w:p>
      <w:pPr>
        <w:jc w:val="center"/>
      </w:pPr>
      <w:r>
        <w:rPr>
          <w:rFonts w:ascii="Courier New" w:hAnsi="Courier New"/>
          <w:sz w:val="18"/>
        </w:rPr>
        <w:t># ============================================================</w:t>
        <w:br/>
        <w:t># CARE GUIDANCE FRAMEWORK</w:t>
        <w:br/>
        <w:t># ============================================================</w:t>
      </w:r>
    </w:p>
    <w:p>
      <w:pPr>
        <w:pStyle w:val="Heading2"/>
      </w:pPr>
      <w:r>
        <w:t>4.13 Version 1 Boundaries</w:t>
      </w:r>
    </w:p>
    <w:p>
      <w:pPr>
        <w:pStyle w:val="ListBullet"/>
      </w:pPr>
      <w:r>
        <w:t>Plain-text guidance only.</w:t>
      </w:r>
    </w:p>
    <w:p>
      <w:pPr>
        <w:pStyle w:val="ListBullet"/>
      </w:pPr>
      <w:r>
        <w:t>No file attachments, images, or video in Version 1.</w:t>
      </w:r>
    </w:p>
    <w:p>
      <w:pPr>
        <w:pStyle w:val="ListBullet"/>
      </w:pPr>
      <w:r>
        <w:t>No AI-generated guidance.</w:t>
      </w:r>
    </w:p>
    <w:p>
      <w:pPr>
        <w:pStyle w:val="ListBullet"/>
      </w:pPr>
      <w:r>
        <w:t>No automatic clinical interpretation.</w:t>
      </w:r>
    </w:p>
    <w:p>
      <w:pPr>
        <w:pStyle w:val="ListBullet"/>
      </w:pPr>
      <w:r>
        <w:t>No worker editing of guidance.</w:t>
      </w:r>
    </w:p>
    <w:p>
      <w:pPr>
        <w:pStyle w:val="ListBullet"/>
      </w:pPr>
      <w:r>
        <w:t>No hard deletion of guidance records.</w:t>
      </w:r>
    </w:p>
    <w:p>
      <w:pPr>
        <w:pStyle w:val="Heading2"/>
      </w:pPr>
      <w:r>
        <w:t>4.14 Approved Design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Decision</w:t>
            </w:r>
          </w:p>
        </w:tc>
        <w:tc>
          <w:tcPr>
            <w:tcW w:type="dxa" w:w="3360"/>
            <w:vAlign w:val="center"/>
            <w:shd w:fill="D9EAF7"/>
          </w:tcPr>
          <w:p>
            <w:r/>
            <w:r>
              <w:rPr>
                <w:rFonts w:ascii="Arial" w:hAnsi="Arial"/>
                <w:b/>
                <w:sz w:val="18"/>
              </w:rPr>
              <w:t>Rationale</w:t>
            </w:r>
          </w:p>
        </w:tc>
        <w:tc>
          <w:tcPr>
            <w:tcW w:type="dxa" w:w="3360"/>
            <w:vAlign w:val="center"/>
            <w:shd w:fill="D9EAF7"/>
          </w:tcPr>
          <w:p>
            <w:r/>
            <w:r>
              <w:rPr>
                <w:rFonts w:ascii="Arial" w:hAnsi="Arial"/>
                <w:b/>
                <w:sz w:val="18"/>
              </w:rPr>
              <w:t>Status</w:t>
            </w:r>
          </w:p>
        </w:tc>
      </w:tr>
      <w:tr>
        <w:tc>
          <w:tcPr>
            <w:tcW w:type="dxa" w:w="3360"/>
            <w:vAlign w:val="center"/>
          </w:tcPr>
          <w:p>
            <w:r/>
            <w:r>
              <w:rPr>
                <w:rFonts w:ascii="Arial" w:hAnsi="Arial"/>
                <w:b w:val="0"/>
                <w:sz w:val="18"/>
              </w:rPr>
              <w:t>Implement Care Guidance as a shared service layer.</w:t>
            </w:r>
          </w:p>
        </w:tc>
        <w:tc>
          <w:tcPr>
            <w:tcW w:type="dxa" w:w="3360"/>
            <w:vAlign w:val="center"/>
          </w:tcPr>
          <w:p>
            <w:r/>
            <w:r>
              <w:rPr>
                <w:rFonts w:ascii="Arial" w:hAnsi="Arial"/>
                <w:b w:val="0"/>
                <w:sz w:val="18"/>
              </w:rPr>
              <w:t>Prevents duplication across operational modules.</w:t>
            </w:r>
          </w:p>
        </w:tc>
        <w:tc>
          <w:tcPr>
            <w:tcW w:type="dxa" w:w="3360"/>
            <w:vAlign w:val="center"/>
          </w:tcPr>
          <w:p>
            <w:r/>
            <w:r>
              <w:rPr>
                <w:rFonts w:ascii="Arial" w:hAnsi="Arial"/>
                <w:b w:val="0"/>
                <w:sz w:val="18"/>
              </w:rPr>
              <w:t>Approved</w:t>
            </w:r>
          </w:p>
        </w:tc>
      </w:tr>
      <w:tr>
        <w:tc>
          <w:tcPr>
            <w:tcW w:type="dxa" w:w="3360"/>
            <w:vAlign w:val="center"/>
          </w:tcPr>
          <w:p>
            <w:r/>
            <w:r>
              <w:rPr>
                <w:rFonts w:ascii="Arial" w:hAnsi="Arial"/>
                <w:b w:val="0"/>
                <w:sz w:val="18"/>
              </w:rPr>
              <w:t>Use reusable partial templates for point-of-care display.</w:t>
            </w:r>
          </w:p>
        </w:tc>
        <w:tc>
          <w:tcPr>
            <w:tcW w:type="dxa" w:w="3360"/>
            <w:vAlign w:val="center"/>
          </w:tcPr>
          <w:p>
            <w:r/>
            <w:r>
              <w:rPr>
                <w:rFonts w:ascii="Arial" w:hAnsi="Arial"/>
                <w:b w:val="0"/>
                <w:sz w:val="18"/>
              </w:rPr>
              <w:t>Maintains a consistent user experience.</w:t>
            </w:r>
          </w:p>
        </w:tc>
        <w:tc>
          <w:tcPr>
            <w:tcW w:type="dxa" w:w="3360"/>
            <w:vAlign w:val="center"/>
          </w:tcPr>
          <w:p>
            <w:r/>
            <w:r>
              <w:rPr>
                <w:rFonts w:ascii="Arial" w:hAnsi="Arial"/>
                <w:b w:val="0"/>
                <w:sz w:val="18"/>
              </w:rPr>
              <w:t>Approved</w:t>
            </w:r>
          </w:p>
        </w:tc>
      </w:tr>
      <w:tr>
        <w:tc>
          <w:tcPr>
            <w:tcW w:type="dxa" w:w="3360"/>
            <w:vAlign w:val="center"/>
          </w:tcPr>
          <w:p>
            <w:r/>
            <w:r>
              <w:rPr>
                <w:rFonts w:ascii="Arial" w:hAnsi="Arial"/>
                <w:b w:val="0"/>
                <w:sz w:val="18"/>
              </w:rPr>
              <w:t>Create a new version instead of overwriting guidance.</w:t>
            </w:r>
          </w:p>
        </w:tc>
        <w:tc>
          <w:tcPr>
            <w:tcW w:type="dxa" w:w="3360"/>
            <w:vAlign w:val="center"/>
          </w:tcPr>
          <w:p>
            <w:r/>
            <w:r>
              <w:rPr>
                <w:rFonts w:ascii="Arial" w:hAnsi="Arial"/>
                <w:b w:val="0"/>
                <w:sz w:val="18"/>
              </w:rPr>
              <w:t>Preserves audit history.</w:t>
            </w:r>
          </w:p>
        </w:tc>
        <w:tc>
          <w:tcPr>
            <w:tcW w:type="dxa" w:w="3360"/>
            <w:vAlign w:val="center"/>
          </w:tcPr>
          <w:p>
            <w:r/>
            <w:r>
              <w:rPr>
                <w:rFonts w:ascii="Arial" w:hAnsi="Arial"/>
                <w:b w:val="0"/>
                <w:sz w:val="18"/>
              </w:rPr>
              <w:t>Approved</w:t>
            </w:r>
          </w:p>
        </w:tc>
      </w:tr>
      <w:tr>
        <w:tc>
          <w:tcPr>
            <w:tcW w:type="dxa" w:w="3360"/>
            <w:vAlign w:val="center"/>
          </w:tcPr>
          <w:p>
            <w:r/>
            <w:r>
              <w:rPr>
                <w:rFonts w:ascii="Arial" w:hAnsi="Arial"/>
                <w:b w:val="0"/>
                <w:sz w:val="18"/>
              </w:rPr>
              <w:t>Allow client-wide, module-wide, and record-specific targets.</w:t>
            </w:r>
          </w:p>
        </w:tc>
        <w:tc>
          <w:tcPr>
            <w:tcW w:type="dxa" w:w="3360"/>
            <w:vAlign w:val="center"/>
          </w:tcPr>
          <w:p>
            <w:r/>
            <w:r>
              <w:rPr>
                <w:rFonts w:ascii="Arial" w:hAnsi="Arial"/>
                <w:b w:val="0"/>
                <w:sz w:val="18"/>
              </w:rPr>
              <w:t>Supports simple and advanced guidance scenarios.</w:t>
            </w:r>
          </w:p>
        </w:tc>
        <w:tc>
          <w:tcPr>
            <w:tcW w:type="dxa" w:w="3360"/>
            <w:vAlign w:val="center"/>
          </w:tcPr>
          <w:p>
            <w:r/>
            <w:r>
              <w:rPr>
                <w:rFonts w:ascii="Arial" w:hAnsi="Arial"/>
                <w:b w:val="0"/>
                <w:sz w:val="18"/>
              </w:rPr>
              <w:t>Approved</w:t>
            </w:r>
          </w:p>
        </w:tc>
      </w:tr>
      <w:tr>
        <w:tc>
          <w:tcPr>
            <w:tcW w:type="dxa" w:w="3360"/>
            <w:vAlign w:val="center"/>
          </w:tcPr>
          <w:p>
            <w:r/>
            <w:r>
              <w:rPr>
                <w:rFonts w:ascii="Arial" w:hAnsi="Arial"/>
                <w:b w:val="0"/>
                <w:sz w:val="18"/>
              </w:rPr>
              <w:t>Enforce permissions in route logic.</w:t>
            </w:r>
          </w:p>
        </w:tc>
        <w:tc>
          <w:tcPr>
            <w:tcW w:type="dxa" w:w="3360"/>
            <w:vAlign w:val="center"/>
          </w:tcPr>
          <w:p>
            <w:r/>
            <w:r>
              <w:rPr>
                <w:rFonts w:ascii="Arial" w:hAnsi="Arial"/>
                <w:b w:val="0"/>
                <w:sz w:val="18"/>
              </w:rPr>
              <w:t>Prevents unauthorized write actions.</w:t>
            </w:r>
          </w:p>
        </w:tc>
        <w:tc>
          <w:tcPr>
            <w:tcW w:type="dxa" w:w="3360"/>
            <w:vAlign w:val="center"/>
          </w:tcPr>
          <w:p>
            <w:r/>
            <w:r>
              <w:rPr>
                <w:rFonts w:ascii="Arial" w:hAnsi="Arial"/>
                <w:b w:val="0"/>
                <w:sz w:val="18"/>
              </w:rPr>
              <w:t>Approved</w:t>
            </w:r>
          </w:p>
        </w:tc>
      </w:tr>
      <w:tr>
        <w:tc>
          <w:tcPr>
            <w:tcW w:type="dxa" w:w="3360"/>
            <w:vAlign w:val="center"/>
          </w:tcPr>
          <w:p>
            <w:r/>
            <w:r>
              <w:rPr>
                <w:rFonts w:ascii="Arial" w:hAnsi="Arial"/>
                <w:b w:val="0"/>
                <w:sz w:val="18"/>
              </w:rPr>
              <w:t>Limit Version 1 to plain text.</w:t>
            </w:r>
          </w:p>
        </w:tc>
        <w:tc>
          <w:tcPr>
            <w:tcW w:type="dxa" w:w="3360"/>
            <w:vAlign w:val="center"/>
          </w:tcPr>
          <w:p>
            <w:r/>
            <w:r>
              <w:rPr>
                <w:rFonts w:ascii="Arial" w:hAnsi="Arial"/>
                <w:b w:val="0"/>
                <w:sz w:val="18"/>
              </w:rPr>
              <w:t>Keeps the first implementation focused and manageable.</w:t>
            </w:r>
          </w:p>
        </w:tc>
        <w:tc>
          <w:tcPr>
            <w:tcW w:type="dxa" w:w="3360"/>
            <w:vAlign w:val="center"/>
          </w:tcPr>
          <w:p>
            <w:r/>
            <w:r>
              <w:rPr>
                <w:rFonts w:ascii="Arial" w:hAnsi="Arial"/>
                <w:b w:val="0"/>
                <w:sz w:val="18"/>
              </w:rPr>
              <w:t>Approved</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NHPSG Manager - Care Guidance Framework - Chapter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