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NHPSG Manager</w:t>
      </w:r>
    </w:p>
    <w:p>
      <w:pPr>
        <w:jc w:val="center"/>
      </w:pPr>
      <w:r>
        <w:rPr>
          <w:rFonts w:ascii="Arial" w:hAnsi="Arial"/>
          <w:b/>
          <w:sz w:val="32"/>
        </w:rPr>
        <w:t>Core Framework Specification</w:t>
      </w:r>
    </w:p>
    <w:p>
      <w:pPr>
        <w:jc w:val="center"/>
      </w:pPr>
      <w:r>
        <w:rPr>
          <w:rFonts w:ascii="Arial" w:hAnsi="Arial"/>
          <w:b/>
          <w:sz w:val="36"/>
        </w:rPr>
        <w:t>Care Guidance Framework</w:t>
      </w:r>
    </w:p>
    <w:p>
      <w:pPr>
        <w:jc w:val="center"/>
      </w:pPr>
      <w:r>
        <w:rPr>
          <w:sz w:val="24"/>
        </w:rPr>
        <w:t>Version 1.0</w:t>
        <w:br/>
        <w:br/>
        <w:t>Chapter 5 - User Interface and User Experience</w:t>
      </w:r>
    </w:p>
    <w:p>
      <w:r>
        <w:br w:type="page"/>
      </w:r>
    </w:p>
    <w:p>
      <w:pPr>
        <w:pStyle w:val="Heading1"/>
      </w:pPr>
      <w:r>
        <w:t>Chapter 5 - User Interface and User Experience</w:t>
      </w:r>
    </w:p>
    <w:p>
      <w:pPr>
        <w:pStyle w:val="Heading2"/>
      </w:pPr>
      <w:r>
        <w:t>5.1 Purpose</w:t>
      </w:r>
    </w:p>
    <w:p>
      <w:r>
        <w:t>This chapter defines how Care Guidance is presented, managed, and experienced throughout NHPSG Manager. The interface must make important guidance easy to notice and understand without interrupting routine care work or overwhelming Support Workers with unnecessary information.</w:t>
      </w:r>
    </w:p>
    <w:p>
      <w:pPr>
        <w:pStyle w:val="Heading2"/>
      </w:pPr>
      <w:r>
        <w:t>5.2 User Experience Objectives</w:t>
      </w:r>
    </w:p>
    <w:p>
      <w:pPr>
        <w:pStyle w:val="ListBullet"/>
      </w:pPr>
      <w:r>
        <w:t>Present relevant guidance at the exact point where care is being delivered.</w:t>
      </w:r>
    </w:p>
    <w:p>
      <w:pPr>
        <w:pStyle w:val="ListBullet"/>
      </w:pPr>
      <w:r>
        <w:t>Make priority and urgency immediately understandable.</w:t>
      </w:r>
    </w:p>
    <w:p>
      <w:pPr>
        <w:pStyle w:val="ListBullet"/>
      </w:pPr>
      <w:r>
        <w:t>Keep routine guidance concise and easy to scan.</w:t>
      </w:r>
    </w:p>
    <w:p>
      <w:pPr>
        <w:pStyle w:val="ListBullet"/>
      </w:pPr>
      <w:r>
        <w:t>Avoid forcing staff to search through separate screens for normal operational instructions.</w:t>
      </w:r>
    </w:p>
    <w:p>
      <w:pPr>
        <w:pStyle w:val="ListBullet"/>
      </w:pPr>
      <w:r>
        <w:t>Maintain a consistent visual pattern across all operational modules.</w:t>
      </w:r>
    </w:p>
    <w:p>
      <w:pPr>
        <w:pStyle w:val="ListBullet"/>
      </w:pPr>
      <w:r>
        <w:t>Support desktop, tablet, and mobile use.</w:t>
      </w:r>
    </w:p>
    <w:p>
      <w:pPr>
        <w:pStyle w:val="ListBullet"/>
      </w:pPr>
      <w:r>
        <w:t>Provide authorized managers with clear create, edit, archive, and history functions.</w:t>
      </w:r>
    </w:p>
    <w:p>
      <w:pPr>
        <w:pStyle w:val="ListBullet"/>
      </w:pPr>
      <w:r>
        <w:t>Preserve a calm, person-centred interface rather than presenting guidance as an alarm unless the content is genuinely critical.</w:t>
      </w:r>
    </w:p>
    <w:p>
      <w:pPr>
        <w:pStyle w:val="Heading2"/>
      </w:pPr>
      <w:r>
        <w:t>5.3 Point-of-Care Guidance Panel</w:t>
      </w:r>
    </w:p>
    <w:p>
      <w:r>
        <w:t>The primary Support Worker interface is a reusable Care Guidance panel embedded within the operational record screen. The panel appears before the worker records the outcome of a task or care event.</w:t>
      </w:r>
    </w:p>
    <w:tbl>
      <w:tblPr>
        <w:tblStyle w:val="TableGrid"/>
        <w:tblW w:type="auto" w:w="0"/>
        <w:jc w:val="center"/>
        <w:tblLayout w:type="autofit"/>
        <w:tblLook w:firstColumn="1" w:firstRow="1" w:lastColumn="0" w:lastRow="0" w:noHBand="0" w:noVBand="1" w:val="04A0"/>
      </w:tblPr>
      <w:tblGrid>
        <w:gridCol w:w="10080"/>
      </w:tblGrid>
      <w:tr>
        <w:tc>
          <w:tcPr>
            <w:tcW w:type="dxa" w:w="10080"/>
            <w:vAlign w:val="center"/>
            <w:shd w:fill="D9EAF7"/>
          </w:tcPr>
          <w:p>
            <w:r/>
            <w:r>
              <w:rPr>
                <w:rFonts w:ascii="Arial" w:hAnsi="Arial"/>
                <w:b/>
                <w:sz w:val="19"/>
              </w:rPr>
              <w:t>CARE GUIDANCE - IMPORTANT</w:t>
            </w:r>
          </w:p>
        </w:tc>
      </w:tr>
      <w:tr>
        <w:tc>
          <w:tcPr>
            <w:tcW w:type="dxa" w:w="10080"/>
            <w:vAlign w:val="center"/>
          </w:tcPr>
          <w:p>
            <w:r/>
            <w:r>
              <w:rPr>
                <w:rFonts w:ascii="Arial" w:hAnsi="Arial"/>
                <w:b w:val="0"/>
                <w:sz w:val="19"/>
              </w:rPr>
              <w:t>Morning medication</w:t>
            </w:r>
          </w:p>
        </w:tc>
      </w:tr>
      <w:tr>
        <w:tc>
          <w:tcPr>
            <w:tcW w:type="dxa" w:w="10080"/>
            <w:vAlign w:val="center"/>
          </w:tcPr>
          <w:p>
            <w:r/>
            <w:r>
              <w:rPr>
                <w:rFonts w:ascii="Arial" w:hAnsi="Arial"/>
                <w:b w:val="0"/>
                <w:sz w:val="19"/>
              </w:rPr>
              <w:t>• Mix with yogurt.</w:t>
            </w:r>
          </w:p>
        </w:tc>
      </w:tr>
      <w:tr>
        <w:tc>
          <w:tcPr>
            <w:tcW w:type="dxa" w:w="10080"/>
            <w:vAlign w:val="center"/>
          </w:tcPr>
          <w:p>
            <w:r/>
            <w:r>
              <w:rPr>
                <w:rFonts w:ascii="Arial" w:hAnsi="Arial"/>
                <w:b w:val="0"/>
                <w:sz w:val="19"/>
              </w:rPr>
              <w:t>• Do not crush.</w:t>
            </w:r>
          </w:p>
        </w:tc>
      </w:tr>
      <w:tr>
        <w:tc>
          <w:tcPr>
            <w:tcW w:type="dxa" w:w="10080"/>
            <w:vAlign w:val="center"/>
          </w:tcPr>
          <w:p>
            <w:r/>
            <w:r>
              <w:rPr>
                <w:rFonts w:ascii="Arial" w:hAnsi="Arial"/>
                <w:b w:val="0"/>
                <w:sz w:val="19"/>
              </w:rPr>
              <w:t>• Wait until the medication has been swallowed.</w:t>
            </w:r>
          </w:p>
        </w:tc>
      </w:tr>
      <w:tr>
        <w:tc>
          <w:tcPr>
            <w:tcW w:type="dxa" w:w="10080"/>
            <w:vAlign w:val="center"/>
          </w:tcPr>
          <w:p>
            <w:r/>
            <w:r>
              <w:rPr>
                <w:rFonts w:ascii="Arial" w:hAnsi="Arial"/>
                <w:b w:val="0"/>
                <w:sz w:val="19"/>
              </w:rPr>
              <w:t>• Observe for unusual drowsiness.</w:t>
            </w:r>
          </w:p>
        </w:tc>
      </w:tr>
    </w:tbl>
    <w:p/>
    <w:p>
      <w:pPr>
        <w:pStyle w:val="Heading2"/>
      </w:pPr>
      <w:r>
        <w:t>5.4 Display Priority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9"/>
              </w:rPr>
              <w:t>Priority</w:t>
            </w:r>
          </w:p>
        </w:tc>
        <w:tc>
          <w:tcPr>
            <w:tcW w:type="dxa" w:w="2520"/>
            <w:vAlign w:val="center"/>
            <w:shd w:fill="D9EAF7"/>
          </w:tcPr>
          <w:p>
            <w:r/>
            <w:r>
              <w:rPr>
                <w:rFonts w:ascii="Arial" w:hAnsi="Arial"/>
                <w:b/>
                <w:sz w:val="19"/>
              </w:rPr>
              <w:t>Purpose</w:t>
            </w:r>
          </w:p>
        </w:tc>
        <w:tc>
          <w:tcPr>
            <w:tcW w:type="dxa" w:w="2520"/>
            <w:vAlign w:val="center"/>
            <w:shd w:fill="D9EAF7"/>
          </w:tcPr>
          <w:p>
            <w:r/>
            <w:r>
              <w:rPr>
                <w:rFonts w:ascii="Arial" w:hAnsi="Arial"/>
                <w:b/>
                <w:sz w:val="19"/>
              </w:rPr>
              <w:t>Presentation</w:t>
            </w:r>
          </w:p>
        </w:tc>
        <w:tc>
          <w:tcPr>
            <w:tcW w:type="dxa" w:w="2520"/>
            <w:vAlign w:val="center"/>
            <w:shd w:fill="D9EAF7"/>
          </w:tcPr>
          <w:p>
            <w:r/>
            <w:r>
              <w:rPr>
                <w:rFonts w:ascii="Arial" w:hAnsi="Arial"/>
                <w:b/>
                <w:sz w:val="19"/>
              </w:rPr>
              <w:t>Expected Staff Response</w:t>
            </w:r>
          </w:p>
        </w:tc>
      </w:tr>
      <w:tr>
        <w:tc>
          <w:tcPr>
            <w:tcW w:type="dxa" w:w="2520"/>
            <w:vAlign w:val="center"/>
          </w:tcPr>
          <w:p>
            <w:r/>
            <w:r>
              <w:rPr>
                <w:rFonts w:ascii="Arial" w:hAnsi="Arial"/>
                <w:b w:val="0"/>
                <w:sz w:val="19"/>
              </w:rPr>
              <w:t>Information</w:t>
            </w:r>
          </w:p>
        </w:tc>
        <w:tc>
          <w:tcPr>
            <w:tcW w:type="dxa" w:w="2520"/>
            <w:vAlign w:val="center"/>
          </w:tcPr>
          <w:p>
            <w:r/>
            <w:r>
              <w:rPr>
                <w:rFonts w:ascii="Arial" w:hAnsi="Arial"/>
                <w:b w:val="0"/>
                <w:sz w:val="19"/>
              </w:rPr>
              <w:t>Routine preference or helpful reminder</w:t>
            </w:r>
          </w:p>
        </w:tc>
        <w:tc>
          <w:tcPr>
            <w:tcW w:type="dxa" w:w="2520"/>
            <w:vAlign w:val="center"/>
          </w:tcPr>
          <w:p>
            <w:r/>
            <w:r>
              <w:rPr>
                <w:rFonts w:ascii="Arial" w:hAnsi="Arial"/>
                <w:b w:val="0"/>
                <w:sz w:val="19"/>
              </w:rPr>
              <w:t>Neutral panel</w:t>
            </w:r>
          </w:p>
        </w:tc>
        <w:tc>
          <w:tcPr>
            <w:tcW w:type="dxa" w:w="2520"/>
            <w:vAlign w:val="center"/>
          </w:tcPr>
          <w:p>
            <w:r/>
            <w:r>
              <w:rPr>
                <w:rFonts w:ascii="Arial" w:hAnsi="Arial"/>
                <w:b w:val="0"/>
                <w:sz w:val="19"/>
              </w:rPr>
              <w:t>Read and apply as relevant</w:t>
            </w:r>
          </w:p>
        </w:tc>
      </w:tr>
      <w:tr>
        <w:tc>
          <w:tcPr>
            <w:tcW w:type="dxa" w:w="2520"/>
            <w:vAlign w:val="center"/>
          </w:tcPr>
          <w:p>
            <w:r/>
            <w:r>
              <w:rPr>
                <w:rFonts w:ascii="Arial" w:hAnsi="Arial"/>
                <w:b w:val="0"/>
                <w:sz w:val="19"/>
              </w:rPr>
              <w:t>Important</w:t>
            </w:r>
          </w:p>
        </w:tc>
        <w:tc>
          <w:tcPr>
            <w:tcW w:type="dxa" w:w="2520"/>
            <w:vAlign w:val="center"/>
          </w:tcPr>
          <w:p>
            <w:r/>
            <w:r>
              <w:rPr>
                <w:rFonts w:ascii="Arial" w:hAnsi="Arial"/>
                <w:b w:val="0"/>
                <w:sz w:val="19"/>
              </w:rPr>
              <w:t>Instruction that materially affects care quality or consistency</w:t>
            </w:r>
          </w:p>
        </w:tc>
        <w:tc>
          <w:tcPr>
            <w:tcW w:type="dxa" w:w="2520"/>
            <w:vAlign w:val="center"/>
          </w:tcPr>
          <w:p>
            <w:r/>
            <w:r>
              <w:rPr>
                <w:rFonts w:ascii="Arial" w:hAnsi="Arial"/>
                <w:b w:val="0"/>
                <w:sz w:val="19"/>
              </w:rPr>
              <w:t>Prominent highlighted panel</w:t>
            </w:r>
          </w:p>
        </w:tc>
        <w:tc>
          <w:tcPr>
            <w:tcW w:type="dxa" w:w="2520"/>
            <w:vAlign w:val="center"/>
          </w:tcPr>
          <w:p>
            <w:r/>
            <w:r>
              <w:rPr>
                <w:rFonts w:ascii="Arial" w:hAnsi="Arial"/>
                <w:b w:val="0"/>
                <w:sz w:val="19"/>
              </w:rPr>
              <w:t>Review before proceeding</w:t>
            </w:r>
          </w:p>
        </w:tc>
      </w:tr>
      <w:tr>
        <w:tc>
          <w:tcPr>
            <w:tcW w:type="dxa" w:w="2520"/>
            <w:vAlign w:val="center"/>
          </w:tcPr>
          <w:p>
            <w:r/>
            <w:r>
              <w:rPr>
                <w:rFonts w:ascii="Arial" w:hAnsi="Arial"/>
                <w:b w:val="0"/>
                <w:sz w:val="19"/>
              </w:rPr>
              <w:t>Critical</w:t>
            </w:r>
          </w:p>
        </w:tc>
        <w:tc>
          <w:tcPr>
            <w:tcW w:type="dxa" w:w="2520"/>
            <w:vAlign w:val="center"/>
          </w:tcPr>
          <w:p>
            <w:r/>
            <w:r>
              <w:rPr>
                <w:rFonts w:ascii="Arial" w:hAnsi="Arial"/>
                <w:b w:val="0"/>
                <w:sz w:val="19"/>
              </w:rPr>
              <w:t>Safety-sensitive instruction that must not be missed</w:t>
            </w:r>
          </w:p>
        </w:tc>
        <w:tc>
          <w:tcPr>
            <w:tcW w:type="dxa" w:w="2520"/>
            <w:vAlign w:val="center"/>
          </w:tcPr>
          <w:p>
            <w:r/>
            <w:r>
              <w:rPr>
                <w:rFonts w:ascii="Arial" w:hAnsi="Arial"/>
                <w:b w:val="0"/>
                <w:sz w:val="19"/>
              </w:rPr>
              <w:t>Strong warning treatment and clear label</w:t>
            </w:r>
          </w:p>
        </w:tc>
        <w:tc>
          <w:tcPr>
            <w:tcW w:type="dxa" w:w="2520"/>
            <w:vAlign w:val="center"/>
          </w:tcPr>
          <w:p>
            <w:r/>
            <w:r>
              <w:rPr>
                <w:rFonts w:ascii="Arial" w:hAnsi="Arial"/>
                <w:b w:val="0"/>
                <w:sz w:val="19"/>
              </w:rPr>
              <w:t>Read before proceeding; follow escalation rules where applicable</w:t>
            </w:r>
          </w:p>
        </w:tc>
      </w:tr>
    </w:tbl>
    <w:p>
      <w:pPr>
        <w:pStyle w:val="Heading2"/>
      </w:pPr>
      <w:r>
        <w:t>5.5 Guidance Placement</w:t>
      </w:r>
    </w:p>
    <w:p>
      <w:pPr>
        <w:pStyle w:val="ListBullet"/>
      </w:pPr>
      <w:r>
        <w:t>Medication: immediately above the administration outcome controls.</w:t>
      </w:r>
    </w:p>
    <w:p>
      <w:pPr>
        <w:pStyle w:val="ListBullet"/>
      </w:pPr>
      <w:r>
        <w:t>Behaviour: above the behaviour recording form or intervention controls.</w:t>
      </w:r>
    </w:p>
    <w:p>
      <w:pPr>
        <w:pStyle w:val="ListBullet"/>
      </w:pPr>
      <w:r>
        <w:t>BM Tracker: above the entry fields when relevant constipation or observation guidance exists.</w:t>
      </w:r>
    </w:p>
    <w:p>
      <w:pPr>
        <w:pStyle w:val="ListBullet"/>
      </w:pPr>
      <w:r>
        <w:t>Care Tasks: above the task outcome and comment controls.</w:t>
      </w:r>
    </w:p>
    <w:p>
      <w:pPr>
        <w:pStyle w:val="ListBullet"/>
      </w:pPr>
      <w:r>
        <w:t>Housekeeping: above the task completion controls where client-specific preferences apply.</w:t>
      </w:r>
    </w:p>
    <w:p>
      <w:pPr>
        <w:pStyle w:val="ListBullet"/>
      </w:pPr>
      <w:r>
        <w:t>Food and Beverage: above meal, fluid, or dietary recording controls.</w:t>
      </w:r>
    </w:p>
    <w:p>
      <w:pPr>
        <w:pStyle w:val="ListBullet"/>
      </w:pPr>
      <w:r>
        <w:t>Sleep: above bedtime, overnight, or waking observations.</w:t>
      </w:r>
    </w:p>
    <w:p>
      <w:pPr>
        <w:pStyle w:val="ListBullet"/>
      </w:pPr>
      <w:r>
        <w:t>Community Activities: above participation, transport, or safety recording controls.</w:t>
      </w:r>
    </w:p>
    <w:p>
      <w:pPr>
        <w:pStyle w:val="Heading2"/>
      </w:pPr>
      <w:r>
        <w:t>5.6 Multiple Guidance Records</w:t>
      </w:r>
    </w:p>
    <w:p>
      <w:r>
        <w:t>Where more than one guidance record applies, the interface should display the highest-priority item first. Additional guidance may appear as separate panels or as clearly separated items within the same panel. Critical guidance must never be hidden inside a collapsed section by default.</w:t>
      </w:r>
    </w:p>
    <w:p>
      <w:pPr>
        <w:pStyle w:val="Heading2"/>
      </w:pPr>
      <w:r>
        <w:t>5.7 Management Interface</w:t>
      </w:r>
    </w:p>
    <w:p>
      <w:r>
        <w:t>Authorized management users require a dedicated Care Guidance administration area with the following functions:</w:t>
      </w:r>
    </w:p>
    <w:p>
      <w:pPr>
        <w:pStyle w:val="ListBullet"/>
      </w:pPr>
      <w:r>
        <w:t>View active guidance by client, module, priority, and target.</w:t>
      </w:r>
    </w:p>
    <w:p>
      <w:pPr>
        <w:pStyle w:val="ListBullet"/>
      </w:pPr>
      <w:r>
        <w:t>Create new guidance.</w:t>
      </w:r>
    </w:p>
    <w:p>
      <w:pPr>
        <w:pStyle w:val="ListBullet"/>
      </w:pPr>
      <w:r>
        <w:t>Edit guidance by creating a new version rather than overwriting history.</w:t>
      </w:r>
    </w:p>
    <w:p>
      <w:pPr>
        <w:pStyle w:val="ListBullet"/>
      </w:pPr>
      <w:r>
        <w:t>Archive guidance that is no longer active.</w:t>
      </w:r>
    </w:p>
    <w:p>
      <w:pPr>
        <w:pStyle w:val="ListBullet"/>
      </w:pPr>
      <w:r>
        <w:t>View version history.</w:t>
      </w:r>
    </w:p>
    <w:p>
      <w:pPr>
        <w:pStyle w:val="ListBullet"/>
      </w:pPr>
      <w:r>
        <w:t>Preview how guidance will appear to Support Workers.</w:t>
      </w:r>
    </w:p>
    <w:p>
      <w:pPr>
        <w:pStyle w:val="ListBullet"/>
      </w:pPr>
      <w:r>
        <w:t>Filter guidance by client-wide, module-wide, or record-specific scope.</w:t>
      </w:r>
    </w:p>
    <w:tbl>
      <w:tblPr>
        <w:tblStyle w:val="TableGrid"/>
        <w:tblW w:type="auto" w:w="0"/>
        <w:jc w:val="center"/>
        <w:tblLayout w:type="autofit"/>
        <w:tblLook w:firstColumn="1" w:firstRow="1" w:lastColumn="0" w:lastRow="0" w:noHBand="0" w:noVBand="1" w:val="04A0"/>
      </w:tblPr>
      <w:tblGrid>
        <w:gridCol w:w="10080"/>
      </w:tblGrid>
      <w:tr>
        <w:tc>
          <w:tcPr>
            <w:tcW w:type="dxa" w:w="10080"/>
            <w:vAlign w:val="center"/>
            <w:shd w:fill="D9EAF7"/>
          </w:tcPr>
          <w:p>
            <w:r/>
            <w:r>
              <w:rPr>
                <w:rFonts w:ascii="Arial" w:hAnsi="Arial"/>
                <w:b/>
                <w:sz w:val="19"/>
              </w:rPr>
              <w:t>CARE GUIDANCE ADMINISTRATION</w:t>
            </w:r>
          </w:p>
        </w:tc>
      </w:tr>
      <w:tr>
        <w:tc>
          <w:tcPr>
            <w:tcW w:type="dxa" w:w="10080"/>
            <w:vAlign w:val="center"/>
          </w:tcPr>
          <w:p>
            <w:r/>
            <w:r>
              <w:rPr>
                <w:rFonts w:ascii="Arial" w:hAnsi="Arial"/>
                <w:b w:val="0"/>
                <w:sz w:val="19"/>
              </w:rPr>
              <w:t>Client: [Client Name]     Module: [All Modules ▼]     Status: [Active ▼]</w:t>
            </w:r>
          </w:p>
        </w:tc>
      </w:tr>
      <w:tr>
        <w:tc>
          <w:tcPr>
            <w:tcW w:type="dxa" w:w="10080"/>
            <w:vAlign w:val="center"/>
          </w:tcPr>
          <w:p>
            <w:r/>
            <w:r>
              <w:rPr>
                <w:rFonts w:ascii="Arial" w:hAnsi="Arial"/>
                <w:b w:val="0"/>
                <w:sz w:val="19"/>
              </w:rPr>
              <w:t>[+ Add Guidance]</w:t>
            </w:r>
          </w:p>
        </w:tc>
      </w:tr>
      <w:tr>
        <w:tc>
          <w:tcPr>
            <w:tcW w:type="dxa" w:w="10080"/>
            <w:vAlign w:val="center"/>
          </w:tcPr>
          <w:p>
            <w:r/>
            <w:r>
              <w:rPr>
                <w:rFonts w:ascii="Arial" w:hAnsi="Arial"/>
                <w:b w:val="0"/>
                <w:sz w:val="19"/>
              </w:rPr>
              <w:t>Title                     Scope              Priority       Status       Actions</w:t>
            </w:r>
          </w:p>
        </w:tc>
      </w:tr>
      <w:tr>
        <w:tc>
          <w:tcPr>
            <w:tcW w:type="dxa" w:w="10080"/>
            <w:vAlign w:val="center"/>
          </w:tcPr>
          <w:p>
            <w:r/>
            <w:r>
              <w:rPr>
                <w:rFonts w:ascii="Arial" w:hAnsi="Arial"/>
                <w:b w:val="0"/>
                <w:sz w:val="19"/>
              </w:rPr>
              <w:t>Morning medication        Specific record    Important      Active       View | Edit | History</w:t>
            </w:r>
          </w:p>
        </w:tc>
      </w:tr>
      <w:tr>
        <w:tc>
          <w:tcPr>
            <w:tcW w:type="dxa" w:w="10080"/>
            <w:vAlign w:val="center"/>
          </w:tcPr>
          <w:p>
            <w:r/>
            <w:r>
              <w:rPr>
                <w:rFonts w:ascii="Arial" w:hAnsi="Arial"/>
                <w:b w:val="0"/>
                <w:sz w:val="19"/>
              </w:rPr>
              <w:t>General meal support      Module-wide        Information    Active       View | Edit | History</w:t>
            </w:r>
          </w:p>
        </w:tc>
      </w:tr>
    </w:tbl>
    <w:p/>
    <w:p>
      <w:pPr>
        <w:pStyle w:val="Heading2"/>
      </w:pPr>
      <w:r>
        <w:t>5.8 Create and Edit Form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Field</w:t>
            </w:r>
          </w:p>
        </w:tc>
        <w:tc>
          <w:tcPr>
            <w:tcW w:type="dxa" w:w="3360"/>
            <w:vAlign w:val="center"/>
            <w:shd w:fill="D9EAF7"/>
          </w:tcPr>
          <w:p>
            <w:r/>
            <w:r>
              <w:rPr>
                <w:rFonts w:ascii="Arial" w:hAnsi="Arial"/>
                <w:b/>
                <w:sz w:val="19"/>
              </w:rPr>
              <w:t>Interface Control</w:t>
            </w:r>
          </w:p>
        </w:tc>
        <w:tc>
          <w:tcPr>
            <w:tcW w:type="dxa" w:w="3360"/>
            <w:vAlign w:val="center"/>
            <w:shd w:fill="D9EAF7"/>
          </w:tcPr>
          <w:p>
            <w:r/>
            <w:r>
              <w:rPr>
                <w:rFonts w:ascii="Arial" w:hAnsi="Arial"/>
                <w:b/>
                <w:sz w:val="19"/>
              </w:rPr>
              <w:t>Requirement</w:t>
            </w:r>
          </w:p>
        </w:tc>
      </w:tr>
      <w:tr>
        <w:tc>
          <w:tcPr>
            <w:tcW w:type="dxa" w:w="3360"/>
            <w:vAlign w:val="center"/>
          </w:tcPr>
          <w:p>
            <w:r/>
            <w:r>
              <w:rPr>
                <w:rFonts w:ascii="Arial" w:hAnsi="Arial"/>
                <w:b w:val="0"/>
                <w:sz w:val="19"/>
              </w:rPr>
              <w:t>Client</w:t>
            </w:r>
          </w:p>
        </w:tc>
        <w:tc>
          <w:tcPr>
            <w:tcW w:type="dxa" w:w="3360"/>
            <w:vAlign w:val="center"/>
          </w:tcPr>
          <w:p>
            <w:r/>
            <w:r>
              <w:rPr>
                <w:rFonts w:ascii="Arial" w:hAnsi="Arial"/>
                <w:b w:val="0"/>
                <w:sz w:val="19"/>
              </w:rPr>
              <w:t>Dropdown or fixed client context</w:t>
            </w:r>
          </w:p>
        </w:tc>
        <w:tc>
          <w:tcPr>
            <w:tcW w:type="dxa" w:w="3360"/>
            <w:vAlign w:val="center"/>
          </w:tcPr>
          <w:p>
            <w:r/>
            <w:r>
              <w:rPr>
                <w:rFonts w:ascii="Arial" w:hAnsi="Arial"/>
                <w:b w:val="0"/>
                <w:sz w:val="19"/>
              </w:rPr>
              <w:t>Required</w:t>
            </w:r>
          </w:p>
        </w:tc>
      </w:tr>
      <w:tr>
        <w:tc>
          <w:tcPr>
            <w:tcW w:type="dxa" w:w="3360"/>
            <w:vAlign w:val="center"/>
          </w:tcPr>
          <w:p>
            <w:r/>
            <w:r>
              <w:rPr>
                <w:rFonts w:ascii="Arial" w:hAnsi="Arial"/>
                <w:b w:val="0"/>
                <w:sz w:val="19"/>
              </w:rPr>
              <w:t>Module</w:t>
            </w:r>
          </w:p>
        </w:tc>
        <w:tc>
          <w:tcPr>
            <w:tcW w:type="dxa" w:w="3360"/>
            <w:vAlign w:val="center"/>
          </w:tcPr>
          <w:p>
            <w:r/>
            <w:r>
              <w:rPr>
                <w:rFonts w:ascii="Arial" w:hAnsi="Arial"/>
                <w:b w:val="0"/>
                <w:sz w:val="19"/>
              </w:rPr>
              <w:t>Dropdown</w:t>
            </w:r>
          </w:p>
        </w:tc>
        <w:tc>
          <w:tcPr>
            <w:tcW w:type="dxa" w:w="3360"/>
            <w:vAlign w:val="center"/>
          </w:tcPr>
          <w:p>
            <w:r/>
            <w:r>
              <w:rPr>
                <w:rFonts w:ascii="Arial" w:hAnsi="Arial"/>
                <w:b w:val="0"/>
                <w:sz w:val="19"/>
              </w:rPr>
              <w:t>Required unless client-wide</w:t>
            </w:r>
          </w:p>
        </w:tc>
      </w:tr>
      <w:tr>
        <w:tc>
          <w:tcPr>
            <w:tcW w:type="dxa" w:w="3360"/>
            <w:vAlign w:val="center"/>
          </w:tcPr>
          <w:p>
            <w:r/>
            <w:r>
              <w:rPr>
                <w:rFonts w:ascii="Arial" w:hAnsi="Arial"/>
                <w:b w:val="0"/>
                <w:sz w:val="19"/>
              </w:rPr>
              <w:t>Scope</w:t>
            </w:r>
          </w:p>
        </w:tc>
        <w:tc>
          <w:tcPr>
            <w:tcW w:type="dxa" w:w="3360"/>
            <w:vAlign w:val="center"/>
          </w:tcPr>
          <w:p>
            <w:r/>
            <w:r>
              <w:rPr>
                <w:rFonts w:ascii="Arial" w:hAnsi="Arial"/>
                <w:b w:val="0"/>
                <w:sz w:val="19"/>
              </w:rPr>
              <w:t>Client-wide / Module-wide / Specific record</w:t>
            </w:r>
          </w:p>
        </w:tc>
        <w:tc>
          <w:tcPr>
            <w:tcW w:type="dxa" w:w="3360"/>
            <w:vAlign w:val="center"/>
          </w:tcPr>
          <w:p>
            <w:r/>
            <w:r>
              <w:rPr>
                <w:rFonts w:ascii="Arial" w:hAnsi="Arial"/>
                <w:b w:val="0"/>
                <w:sz w:val="19"/>
              </w:rPr>
              <w:t>Required</w:t>
            </w:r>
          </w:p>
        </w:tc>
      </w:tr>
      <w:tr>
        <w:tc>
          <w:tcPr>
            <w:tcW w:type="dxa" w:w="3360"/>
            <w:vAlign w:val="center"/>
          </w:tcPr>
          <w:p>
            <w:r/>
            <w:r>
              <w:rPr>
                <w:rFonts w:ascii="Arial" w:hAnsi="Arial"/>
                <w:b w:val="0"/>
                <w:sz w:val="19"/>
              </w:rPr>
              <w:t>Reference</w:t>
            </w:r>
          </w:p>
        </w:tc>
        <w:tc>
          <w:tcPr>
            <w:tcW w:type="dxa" w:w="3360"/>
            <w:vAlign w:val="center"/>
          </w:tcPr>
          <w:p>
            <w:r/>
            <w:r>
              <w:rPr>
                <w:rFonts w:ascii="Arial" w:hAnsi="Arial"/>
                <w:b w:val="0"/>
                <w:sz w:val="19"/>
              </w:rPr>
              <w:t>Context-sensitive selector</w:t>
            </w:r>
          </w:p>
        </w:tc>
        <w:tc>
          <w:tcPr>
            <w:tcW w:type="dxa" w:w="3360"/>
            <w:vAlign w:val="center"/>
          </w:tcPr>
          <w:p>
            <w:r/>
            <w:r>
              <w:rPr>
                <w:rFonts w:ascii="Arial" w:hAnsi="Arial"/>
                <w:b w:val="0"/>
                <w:sz w:val="19"/>
              </w:rPr>
              <w:t>Required for specific-record guidance</w:t>
            </w:r>
          </w:p>
        </w:tc>
      </w:tr>
      <w:tr>
        <w:tc>
          <w:tcPr>
            <w:tcW w:type="dxa" w:w="3360"/>
            <w:vAlign w:val="center"/>
          </w:tcPr>
          <w:p>
            <w:r/>
            <w:r>
              <w:rPr>
                <w:rFonts w:ascii="Arial" w:hAnsi="Arial"/>
                <w:b w:val="0"/>
                <w:sz w:val="19"/>
              </w:rPr>
              <w:t>Title</w:t>
            </w:r>
          </w:p>
        </w:tc>
        <w:tc>
          <w:tcPr>
            <w:tcW w:type="dxa" w:w="3360"/>
            <w:vAlign w:val="center"/>
          </w:tcPr>
          <w:p>
            <w:r/>
            <w:r>
              <w:rPr>
                <w:rFonts w:ascii="Arial" w:hAnsi="Arial"/>
                <w:b w:val="0"/>
                <w:sz w:val="19"/>
              </w:rPr>
              <w:t>Single-line text field</w:t>
            </w:r>
          </w:p>
        </w:tc>
        <w:tc>
          <w:tcPr>
            <w:tcW w:type="dxa" w:w="3360"/>
            <w:vAlign w:val="center"/>
          </w:tcPr>
          <w:p>
            <w:r/>
            <w:r>
              <w:rPr>
                <w:rFonts w:ascii="Arial" w:hAnsi="Arial"/>
                <w:b w:val="0"/>
                <w:sz w:val="19"/>
              </w:rPr>
              <w:t>Required</w:t>
            </w:r>
          </w:p>
        </w:tc>
      </w:tr>
      <w:tr>
        <w:tc>
          <w:tcPr>
            <w:tcW w:type="dxa" w:w="3360"/>
            <w:vAlign w:val="center"/>
          </w:tcPr>
          <w:p>
            <w:r/>
            <w:r>
              <w:rPr>
                <w:rFonts w:ascii="Arial" w:hAnsi="Arial"/>
                <w:b w:val="0"/>
                <w:sz w:val="19"/>
              </w:rPr>
              <w:t>Guidance text</w:t>
            </w:r>
          </w:p>
        </w:tc>
        <w:tc>
          <w:tcPr>
            <w:tcW w:type="dxa" w:w="3360"/>
            <w:vAlign w:val="center"/>
          </w:tcPr>
          <w:p>
            <w:r/>
            <w:r>
              <w:rPr>
                <w:rFonts w:ascii="Arial" w:hAnsi="Arial"/>
                <w:b w:val="0"/>
                <w:sz w:val="19"/>
              </w:rPr>
              <w:t>Multi-line text area</w:t>
            </w:r>
          </w:p>
        </w:tc>
        <w:tc>
          <w:tcPr>
            <w:tcW w:type="dxa" w:w="3360"/>
            <w:vAlign w:val="center"/>
          </w:tcPr>
          <w:p>
            <w:r/>
            <w:r>
              <w:rPr>
                <w:rFonts w:ascii="Arial" w:hAnsi="Arial"/>
                <w:b w:val="0"/>
                <w:sz w:val="19"/>
              </w:rPr>
              <w:t>Required</w:t>
            </w:r>
          </w:p>
        </w:tc>
      </w:tr>
      <w:tr>
        <w:tc>
          <w:tcPr>
            <w:tcW w:type="dxa" w:w="3360"/>
            <w:vAlign w:val="center"/>
          </w:tcPr>
          <w:p>
            <w:r/>
            <w:r>
              <w:rPr>
                <w:rFonts w:ascii="Arial" w:hAnsi="Arial"/>
                <w:b w:val="0"/>
                <w:sz w:val="19"/>
              </w:rPr>
              <w:t>Priority</w:t>
            </w:r>
          </w:p>
        </w:tc>
        <w:tc>
          <w:tcPr>
            <w:tcW w:type="dxa" w:w="3360"/>
            <w:vAlign w:val="center"/>
          </w:tcPr>
          <w:p>
            <w:r/>
            <w:r>
              <w:rPr>
                <w:rFonts w:ascii="Arial" w:hAnsi="Arial"/>
                <w:b w:val="0"/>
                <w:sz w:val="19"/>
              </w:rPr>
              <w:t>Information / Important / Critical</w:t>
            </w:r>
          </w:p>
        </w:tc>
        <w:tc>
          <w:tcPr>
            <w:tcW w:type="dxa" w:w="3360"/>
            <w:vAlign w:val="center"/>
          </w:tcPr>
          <w:p>
            <w:r/>
            <w:r>
              <w:rPr>
                <w:rFonts w:ascii="Arial" w:hAnsi="Arial"/>
                <w:b w:val="0"/>
                <w:sz w:val="19"/>
              </w:rPr>
              <w:t>Required</w:t>
            </w:r>
          </w:p>
        </w:tc>
      </w:tr>
      <w:tr>
        <w:tc>
          <w:tcPr>
            <w:tcW w:type="dxa" w:w="3360"/>
            <w:vAlign w:val="center"/>
          </w:tcPr>
          <w:p>
            <w:r/>
            <w:r>
              <w:rPr>
                <w:rFonts w:ascii="Arial" w:hAnsi="Arial"/>
                <w:b w:val="0"/>
                <w:sz w:val="19"/>
              </w:rPr>
              <w:t>Effective from</w:t>
            </w:r>
          </w:p>
        </w:tc>
        <w:tc>
          <w:tcPr>
            <w:tcW w:type="dxa" w:w="3360"/>
            <w:vAlign w:val="center"/>
          </w:tcPr>
          <w:p>
            <w:r/>
            <w:r>
              <w:rPr>
                <w:rFonts w:ascii="Arial" w:hAnsi="Arial"/>
                <w:b w:val="0"/>
                <w:sz w:val="19"/>
              </w:rPr>
              <w:t>Date field</w:t>
            </w:r>
          </w:p>
        </w:tc>
        <w:tc>
          <w:tcPr>
            <w:tcW w:type="dxa" w:w="3360"/>
            <w:vAlign w:val="center"/>
          </w:tcPr>
          <w:p>
            <w:r/>
            <w:r>
              <w:rPr>
                <w:rFonts w:ascii="Arial" w:hAnsi="Arial"/>
                <w:b w:val="0"/>
                <w:sz w:val="19"/>
              </w:rPr>
              <w:t>Optional</w:t>
            </w:r>
          </w:p>
        </w:tc>
      </w:tr>
      <w:tr>
        <w:tc>
          <w:tcPr>
            <w:tcW w:type="dxa" w:w="3360"/>
            <w:vAlign w:val="center"/>
          </w:tcPr>
          <w:p>
            <w:r/>
            <w:r>
              <w:rPr>
                <w:rFonts w:ascii="Arial" w:hAnsi="Arial"/>
                <w:b w:val="0"/>
                <w:sz w:val="19"/>
              </w:rPr>
              <w:t>Effective to</w:t>
            </w:r>
          </w:p>
        </w:tc>
        <w:tc>
          <w:tcPr>
            <w:tcW w:type="dxa" w:w="3360"/>
            <w:vAlign w:val="center"/>
          </w:tcPr>
          <w:p>
            <w:r/>
            <w:r>
              <w:rPr>
                <w:rFonts w:ascii="Arial" w:hAnsi="Arial"/>
                <w:b w:val="0"/>
                <w:sz w:val="19"/>
              </w:rPr>
              <w:t>Date field</w:t>
            </w:r>
          </w:p>
        </w:tc>
        <w:tc>
          <w:tcPr>
            <w:tcW w:type="dxa" w:w="3360"/>
            <w:vAlign w:val="center"/>
          </w:tcPr>
          <w:p>
            <w:r/>
            <w:r>
              <w:rPr>
                <w:rFonts w:ascii="Arial" w:hAnsi="Arial"/>
                <w:b w:val="0"/>
                <w:sz w:val="19"/>
              </w:rPr>
              <w:t>Optional</w:t>
            </w:r>
          </w:p>
        </w:tc>
      </w:tr>
      <w:tr>
        <w:tc>
          <w:tcPr>
            <w:tcW w:type="dxa" w:w="3360"/>
            <w:vAlign w:val="center"/>
          </w:tcPr>
          <w:p>
            <w:r/>
            <w:r>
              <w:rPr>
                <w:rFonts w:ascii="Arial" w:hAnsi="Arial"/>
                <w:b w:val="0"/>
                <w:sz w:val="19"/>
              </w:rPr>
              <w:t>Active status</w:t>
            </w:r>
          </w:p>
        </w:tc>
        <w:tc>
          <w:tcPr>
            <w:tcW w:type="dxa" w:w="3360"/>
            <w:vAlign w:val="center"/>
          </w:tcPr>
          <w:p>
            <w:r/>
            <w:r>
              <w:rPr>
                <w:rFonts w:ascii="Arial" w:hAnsi="Arial"/>
                <w:b w:val="0"/>
                <w:sz w:val="19"/>
              </w:rPr>
              <w:t>Checkbox or status control</w:t>
            </w:r>
          </w:p>
        </w:tc>
        <w:tc>
          <w:tcPr>
            <w:tcW w:type="dxa" w:w="3360"/>
            <w:vAlign w:val="center"/>
          </w:tcPr>
          <w:p>
            <w:r/>
            <w:r>
              <w:rPr>
                <w:rFonts w:ascii="Arial" w:hAnsi="Arial"/>
                <w:b w:val="0"/>
                <w:sz w:val="19"/>
              </w:rPr>
              <w:t>Required</w:t>
            </w:r>
          </w:p>
        </w:tc>
      </w:tr>
    </w:tbl>
    <w:p>
      <w:pPr>
        <w:pStyle w:val="Heading2"/>
      </w:pPr>
      <w:r>
        <w:t>5.9 Validation and User Feedback</w:t>
      </w:r>
    </w:p>
    <w:p>
      <w:pPr>
        <w:pStyle w:val="ListBullet"/>
      </w:pPr>
      <w:r>
        <w:t>Required fields must be identified clearly.</w:t>
      </w:r>
    </w:p>
    <w:p>
      <w:pPr>
        <w:pStyle w:val="ListBullet"/>
      </w:pPr>
      <w:r>
        <w:t>Validation errors must appear beside or immediately above the affected field.</w:t>
      </w:r>
    </w:p>
    <w:p>
      <w:pPr>
        <w:pStyle w:val="ListBullet"/>
      </w:pPr>
      <w:r>
        <w:t>The form must retain entered values after validation failure.</w:t>
      </w:r>
    </w:p>
    <w:p>
      <w:pPr>
        <w:pStyle w:val="ListBullet"/>
      </w:pPr>
      <w:r>
        <w:t>Creating a replacement version must clearly explain that the previous version will remain in history.</w:t>
      </w:r>
    </w:p>
    <w:p>
      <w:pPr>
        <w:pStyle w:val="ListBullet"/>
      </w:pPr>
      <w:r>
        <w:t>Archiving requires confirmation.</w:t>
      </w:r>
    </w:p>
    <w:p>
      <w:pPr>
        <w:pStyle w:val="ListBullet"/>
      </w:pPr>
      <w:r>
        <w:t>Success messages must confirm whether guidance was created, updated through versioning, or archived.</w:t>
      </w:r>
    </w:p>
    <w:p>
      <w:pPr>
        <w:pStyle w:val="Heading2"/>
      </w:pPr>
      <w:r>
        <w:t>5.10 Accessibility and Readability</w:t>
      </w:r>
    </w:p>
    <w:p>
      <w:pPr>
        <w:pStyle w:val="ListBullet"/>
      </w:pPr>
      <w:r>
        <w:t>Priority must not be communicated by colour alone; text labels are required.</w:t>
      </w:r>
    </w:p>
    <w:p>
      <w:pPr>
        <w:pStyle w:val="ListBullet"/>
      </w:pPr>
      <w:r>
        <w:t>Text must remain readable at common mobile and tablet sizes.</w:t>
      </w:r>
    </w:p>
    <w:p>
      <w:pPr>
        <w:pStyle w:val="ListBullet"/>
      </w:pPr>
      <w:r>
        <w:t>Guidance content should use short paragraphs or bullets where possible.</w:t>
      </w:r>
    </w:p>
    <w:p>
      <w:pPr>
        <w:pStyle w:val="ListBullet"/>
      </w:pPr>
      <w:r>
        <w:t>Interactive controls must have clear labels and sufficient spacing.</w:t>
      </w:r>
    </w:p>
    <w:p>
      <w:pPr>
        <w:pStyle w:val="ListBullet"/>
      </w:pPr>
      <w:r>
        <w:t>The interface must support keyboard navigation where practical.</w:t>
      </w:r>
    </w:p>
    <w:p>
      <w:pPr>
        <w:pStyle w:val="ListBullet"/>
      </w:pPr>
      <w:r>
        <w:t>Critical information must remain visible without horizontal scrolling.</w:t>
      </w:r>
    </w:p>
    <w:p>
      <w:pPr>
        <w:pStyle w:val="Heading2"/>
      </w:pPr>
      <w:r>
        <w:t>5.11 Mobile Behaviour</w:t>
      </w:r>
    </w:p>
    <w:p>
      <w:r>
        <w:t>On smaller screens, the Care Guidance panel should span the full available width and appear before the outcome controls. Administration tables may convert to stacked cards. Action links should remain large enough for touch use, and long guidance text should wrap naturally without requiring horizontal scrolling.</w:t>
      </w:r>
    </w:p>
    <w:p>
      <w:pPr>
        <w:pStyle w:val="Heading2"/>
      </w:pPr>
      <w:r>
        <w:t>5.12 Version History Interface</w:t>
      </w:r>
    </w:p>
    <w:p>
      <w:r>
        <w:t>The history screen must show each version, its effective dates, priority, author, creation date, archive status, and the guidance text that was active. Historical versions are read-only.</w:t>
      </w:r>
    </w:p>
    <w:p>
      <w:pPr>
        <w:pStyle w:val="Heading2"/>
      </w:pPr>
      <w:r>
        <w:t>5.13 Version 1 Boundaries</w:t>
      </w:r>
    </w:p>
    <w:p>
      <w:pPr>
        <w:pStyle w:val="ListBullet"/>
      </w:pPr>
      <w:r>
        <w:t>Plain text guidance with simple paragraph and bullet formatting.</w:t>
      </w:r>
    </w:p>
    <w:p>
      <w:pPr>
        <w:pStyle w:val="ListBullet"/>
      </w:pPr>
      <w:r>
        <w:t>Three priority levels: Information, Important, and Critical.</w:t>
      </w:r>
    </w:p>
    <w:p>
      <w:pPr>
        <w:pStyle w:val="ListBullet"/>
      </w:pPr>
      <w:r>
        <w:t>Responsive display for desktop, tablet, and mobile.</w:t>
      </w:r>
    </w:p>
    <w:p>
      <w:pPr>
        <w:pStyle w:val="ListBullet"/>
      </w:pPr>
      <w:r>
        <w:t>Management create, version, archive, preview, and history functions.</w:t>
      </w:r>
    </w:p>
    <w:p>
      <w:pPr>
        <w:pStyle w:val="ListBullet"/>
      </w:pPr>
      <w:r>
        <w:t>No images, videos, file attachments, or rich-text editor in Version 1.</w:t>
      </w:r>
    </w:p>
    <w:p>
      <w:pPr>
        <w:pStyle w:val="ListBullet"/>
      </w:pPr>
      <w:r>
        <w:t>No mandatory worker acknowledgement unless explicitly introduced by a future workflow.</w:t>
      </w:r>
    </w:p>
    <w:p>
      <w:pPr>
        <w:pStyle w:val="Heading2"/>
      </w:pPr>
      <w:r>
        <w:t>5.14 Approved Design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Decision</w:t>
            </w:r>
          </w:p>
        </w:tc>
        <w:tc>
          <w:tcPr>
            <w:tcW w:type="dxa" w:w="5040"/>
            <w:vAlign w:val="center"/>
            <w:shd w:fill="D9EAF7"/>
          </w:tcPr>
          <w:p>
            <w:r/>
            <w:r>
              <w:rPr>
                <w:rFonts w:ascii="Arial" w:hAnsi="Arial"/>
                <w:b/>
                <w:sz w:val="19"/>
              </w:rPr>
              <w:t>Status</w:t>
            </w:r>
          </w:p>
        </w:tc>
      </w:tr>
      <w:tr>
        <w:tc>
          <w:tcPr>
            <w:tcW w:type="dxa" w:w="5040"/>
            <w:vAlign w:val="center"/>
          </w:tcPr>
          <w:p>
            <w:r/>
            <w:r>
              <w:rPr>
                <w:rFonts w:ascii="Arial" w:hAnsi="Arial"/>
                <w:b w:val="0"/>
                <w:sz w:val="19"/>
              </w:rPr>
              <w:t>Care Guidance is displayed within the operational workflow rather than on a separate Support Worker lookup screen.</w:t>
            </w:r>
          </w:p>
        </w:tc>
        <w:tc>
          <w:tcPr>
            <w:tcW w:type="dxa" w:w="5040"/>
            <w:vAlign w:val="center"/>
          </w:tcPr>
          <w:p>
            <w:r/>
            <w:r>
              <w:rPr>
                <w:rFonts w:ascii="Arial" w:hAnsi="Arial"/>
                <w:b w:val="0"/>
                <w:sz w:val="19"/>
              </w:rPr>
              <w:t>Approved</w:t>
            </w:r>
          </w:p>
        </w:tc>
      </w:tr>
      <w:tr>
        <w:tc>
          <w:tcPr>
            <w:tcW w:type="dxa" w:w="5040"/>
            <w:vAlign w:val="center"/>
          </w:tcPr>
          <w:p>
            <w:r/>
            <w:r>
              <w:rPr>
                <w:rFonts w:ascii="Arial" w:hAnsi="Arial"/>
                <w:b w:val="0"/>
                <w:sz w:val="19"/>
              </w:rPr>
              <w:t>Priority is communicated through both text and visual treatment.</w:t>
            </w:r>
          </w:p>
        </w:tc>
        <w:tc>
          <w:tcPr>
            <w:tcW w:type="dxa" w:w="5040"/>
            <w:vAlign w:val="center"/>
          </w:tcPr>
          <w:p>
            <w:r/>
            <w:r>
              <w:rPr>
                <w:rFonts w:ascii="Arial" w:hAnsi="Arial"/>
                <w:b w:val="0"/>
                <w:sz w:val="19"/>
              </w:rPr>
              <w:t>Approved</w:t>
            </w:r>
          </w:p>
        </w:tc>
      </w:tr>
      <w:tr>
        <w:tc>
          <w:tcPr>
            <w:tcW w:type="dxa" w:w="5040"/>
            <w:vAlign w:val="center"/>
          </w:tcPr>
          <w:p>
            <w:r/>
            <w:r>
              <w:rPr>
                <w:rFonts w:ascii="Arial" w:hAnsi="Arial"/>
                <w:b w:val="0"/>
                <w:sz w:val="19"/>
              </w:rPr>
              <w:t>Critical guidance is visible by default and is never hidden in a collapsed section.</w:t>
            </w:r>
          </w:p>
        </w:tc>
        <w:tc>
          <w:tcPr>
            <w:tcW w:type="dxa" w:w="5040"/>
            <w:vAlign w:val="center"/>
          </w:tcPr>
          <w:p>
            <w:r/>
            <w:r>
              <w:rPr>
                <w:rFonts w:ascii="Arial" w:hAnsi="Arial"/>
                <w:b w:val="0"/>
                <w:sz w:val="19"/>
              </w:rPr>
              <w:t>Approved</w:t>
            </w:r>
          </w:p>
        </w:tc>
      </w:tr>
      <w:tr>
        <w:tc>
          <w:tcPr>
            <w:tcW w:type="dxa" w:w="5040"/>
            <w:vAlign w:val="center"/>
          </w:tcPr>
          <w:p>
            <w:r/>
            <w:r>
              <w:rPr>
                <w:rFonts w:ascii="Arial" w:hAnsi="Arial"/>
                <w:b w:val="0"/>
                <w:sz w:val="19"/>
              </w:rPr>
              <w:t>The same reusable panel pattern is used across operational modules.</w:t>
            </w:r>
          </w:p>
        </w:tc>
        <w:tc>
          <w:tcPr>
            <w:tcW w:type="dxa" w:w="5040"/>
            <w:vAlign w:val="center"/>
          </w:tcPr>
          <w:p>
            <w:r/>
            <w:r>
              <w:rPr>
                <w:rFonts w:ascii="Arial" w:hAnsi="Arial"/>
                <w:b w:val="0"/>
                <w:sz w:val="19"/>
              </w:rPr>
              <w:t>Approved</w:t>
            </w:r>
          </w:p>
        </w:tc>
      </w:tr>
      <w:tr>
        <w:tc>
          <w:tcPr>
            <w:tcW w:type="dxa" w:w="5040"/>
            <w:vAlign w:val="center"/>
          </w:tcPr>
          <w:p>
            <w:r/>
            <w:r>
              <w:rPr>
                <w:rFonts w:ascii="Arial" w:hAnsi="Arial"/>
                <w:b w:val="0"/>
                <w:sz w:val="19"/>
              </w:rPr>
              <w:t>Management edits create a new version and do not overwrite historical guidance.</w:t>
            </w:r>
          </w:p>
        </w:tc>
        <w:tc>
          <w:tcPr>
            <w:tcW w:type="dxa" w:w="5040"/>
            <w:vAlign w:val="center"/>
          </w:tcPr>
          <w:p>
            <w:r/>
            <w:r>
              <w:rPr>
                <w:rFonts w:ascii="Arial" w:hAnsi="Arial"/>
                <w:b w:val="0"/>
                <w:sz w:val="19"/>
              </w:rPr>
              <w:t>Approved</w:t>
            </w:r>
          </w:p>
        </w:tc>
      </w:tr>
      <w:tr>
        <w:tc>
          <w:tcPr>
            <w:tcW w:type="dxa" w:w="5040"/>
            <w:vAlign w:val="center"/>
          </w:tcPr>
          <w:p>
            <w:r/>
            <w:r>
              <w:rPr>
                <w:rFonts w:ascii="Arial" w:hAnsi="Arial"/>
                <w:b w:val="0"/>
                <w:sz w:val="19"/>
              </w:rPr>
              <w:t>Version 1 uses plain text and simple formatting only.</w:t>
            </w:r>
          </w:p>
        </w:tc>
        <w:tc>
          <w:tcPr>
            <w:tcW w:type="dxa" w:w="5040"/>
            <w:vAlign w:val="center"/>
          </w:tcPr>
          <w:p>
            <w:r/>
            <w:r>
              <w:rPr>
                <w:rFonts w:ascii="Arial" w:hAnsi="Arial"/>
                <w:b w:val="0"/>
                <w:sz w:val="19"/>
              </w:rPr>
              <w:t>Approved</w:t>
            </w:r>
          </w:p>
        </w:tc>
      </w:tr>
      <w:tr>
        <w:tc>
          <w:tcPr>
            <w:tcW w:type="dxa" w:w="5040"/>
            <w:vAlign w:val="center"/>
          </w:tcPr>
          <w:p>
            <w:r/>
            <w:r>
              <w:rPr>
                <w:rFonts w:ascii="Arial" w:hAnsi="Arial"/>
                <w:b w:val="0"/>
                <w:sz w:val="19"/>
              </w:rPr>
              <w:t>The interface is designed for responsive mobile and tablet use.</w:t>
            </w:r>
          </w:p>
        </w:tc>
        <w:tc>
          <w:tcPr>
            <w:tcW w:type="dxa" w:w="5040"/>
            <w:vAlign w:val="center"/>
          </w:tcPr>
          <w:p>
            <w:r/>
            <w:r>
              <w:rPr>
                <w:rFonts w:ascii="Arial" w:hAnsi="Arial"/>
                <w:b w:val="0"/>
                <w:sz w:val="19"/>
              </w:rPr>
              <w:t>Approved</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