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Version 1.0</w:t>
        <w:br/>
        <w:br/>
        <w:t>Chapter 6 – Operational Workflow</w:t>
      </w:r>
    </w:p>
    <w:p>
      <w:pPr>
        <w:pStyle w:val="Heading2"/>
      </w:pPr>
      <w:r>
        <w:t>6.1 Purpose</w:t>
      </w:r>
    </w:p>
    <w:p>
      <w:r>
        <w:t>This chapter defines how the Care Guidance Framework participates in day-to-day operational workflows. Guidance is presented at the point of care before or during task completion so staff receive relevant information when it is most useful.</w:t>
      </w:r>
    </w:p>
    <w:p>
      <w:pPr>
        <w:pStyle w:val="Heading2"/>
      </w:pPr>
      <w:r>
        <w:t>6.2 Standard Workflow</w:t>
      </w:r>
    </w:p>
    <w:p>
      <w:r>
        <w:t>1. Worker opens an operational task.</w:t>
      </w:r>
    </w:p>
    <w:p>
      <w:r>
        <w:t>2. System identifies the client and operational module.</w:t>
      </w:r>
    </w:p>
    <w:p>
      <w:r>
        <w:t>3. Framework retrieves active Care Guidance records.</w:t>
      </w:r>
    </w:p>
    <w:p>
      <w:r>
        <w:t>4. Guidance is displayed before work proceeds.</w:t>
      </w:r>
    </w:p>
    <w:p>
      <w:r>
        <w:t>5. Worker reviews the guidance.</w:t>
      </w:r>
    </w:p>
    <w:p>
      <w:r>
        <w:t>6. Task is completed and recorded.</w:t>
      </w:r>
    </w:p>
    <w:p>
      <w:r>
        <w:t>7. Activity Log records any framework events.</w:t>
      </w:r>
    </w:p>
    <w:p>
      <w:pPr>
        <w:pStyle w:val="Heading2"/>
      </w:pPr>
      <w:r>
        <w:t>6.3 Example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Workflow</w:t>
            </w:r>
          </w:p>
        </w:tc>
      </w:tr>
      <w:tr>
        <w:tc>
          <w:tcPr>
            <w:tcW w:type="dxa" w:w="4320"/>
          </w:tcPr>
          <w:p>
            <w:r>
              <w:t>Medication</w:t>
            </w:r>
          </w:p>
        </w:tc>
        <w:tc>
          <w:tcPr>
            <w:tcW w:type="dxa" w:w="4320"/>
          </w:tcPr>
          <w:p>
            <w:r>
              <w:t>Display medication guidance before administration.</w:t>
            </w:r>
          </w:p>
        </w:tc>
      </w:tr>
      <w:tr>
        <w:tc>
          <w:tcPr>
            <w:tcW w:type="dxa" w:w="4320"/>
          </w:tcPr>
          <w:p>
            <w:r>
              <w:t>Care Tasks</w:t>
            </w:r>
          </w:p>
        </w:tc>
        <w:tc>
          <w:tcPr>
            <w:tcW w:type="dxa" w:w="4320"/>
          </w:tcPr>
          <w:p>
            <w:r>
              <w:t>Display client-specific care preferences before recording completion.</w:t>
            </w:r>
          </w:p>
        </w:tc>
      </w:tr>
      <w:tr>
        <w:tc>
          <w:tcPr>
            <w:tcW w:type="dxa" w:w="4320"/>
          </w:tcPr>
          <w:p>
            <w:r>
              <w:t>Housekeeping</w:t>
            </w:r>
          </w:p>
        </w:tc>
        <w:tc>
          <w:tcPr>
            <w:tcW w:type="dxa" w:w="4320"/>
          </w:tcPr>
          <w:p>
            <w:r>
              <w:t>Display cleaning preferences or safety instructions.</w:t>
            </w:r>
          </w:p>
        </w:tc>
      </w:tr>
      <w:tr>
        <w:tc>
          <w:tcPr>
            <w:tcW w:type="dxa" w:w="4320"/>
          </w:tcPr>
          <w:p>
            <w:r>
              <w:t>Behaviour</w:t>
            </w:r>
          </w:p>
        </w:tc>
        <w:tc>
          <w:tcPr>
            <w:tcW w:type="dxa" w:w="4320"/>
          </w:tcPr>
          <w:p>
            <w:r>
              <w:t>Display proactive support strategies before recording an incident or intervention.</w:t>
            </w:r>
          </w:p>
        </w:tc>
      </w:tr>
      <w:tr>
        <w:tc>
          <w:tcPr>
            <w:tcW w:type="dxa" w:w="4320"/>
          </w:tcPr>
          <w:p>
            <w:r>
              <w:t>BM Tracker</w:t>
            </w:r>
          </w:p>
        </w:tc>
        <w:tc>
          <w:tcPr>
            <w:tcW w:type="dxa" w:w="4320"/>
          </w:tcPr>
          <w:p>
            <w:r>
              <w:t>Display monitoring or escalation guidance before recording a bowel movement.</w:t>
            </w:r>
          </w:p>
        </w:tc>
      </w:tr>
    </w:tbl>
    <w:p>
      <w:pPr>
        <w:pStyle w:val="Heading2"/>
      </w:pPr>
      <w:r>
        <w:t>6.4 Guidance Priorities</w:t>
      </w:r>
    </w:p>
    <w:p>
      <w:pPr>
        <w:pStyle w:val="ListBullet"/>
      </w:pPr>
      <w:r>
        <w:t>Information – routine operational advice.</w:t>
      </w:r>
    </w:p>
    <w:p>
      <w:pPr>
        <w:pStyle w:val="ListBullet"/>
      </w:pPr>
      <w:r>
        <w:t>Important – guidance that should normally be followed.</w:t>
      </w:r>
    </w:p>
    <w:p>
      <w:pPr>
        <w:pStyle w:val="ListBullet"/>
      </w:pPr>
      <w:r>
        <w:t>Critical – high-visibility safety guidance requiring acknowledgement in future versions if enabled.</w:t>
      </w:r>
    </w:p>
    <w:p>
      <w:pPr>
        <w:pStyle w:val="Heading2"/>
      </w:pPr>
      <w:r>
        <w:t>6.5 Version 1 Behaviour</w:t>
      </w:r>
    </w:p>
    <w:p>
      <w:pPr>
        <w:pStyle w:val="ListBullet"/>
      </w:pPr>
      <w:r>
        <w:t>Guidance is read-only for Support Workers.</w:t>
      </w:r>
    </w:p>
    <w:p>
      <w:pPr>
        <w:pStyle w:val="ListBullet"/>
      </w:pPr>
      <w:r>
        <w:t>Guidance does not block task completion.</w:t>
      </w:r>
    </w:p>
    <w:p>
      <w:pPr>
        <w:pStyle w:val="ListBullet"/>
      </w:pPr>
      <w:r>
        <w:t>Only active guidance is displayed.</w:t>
      </w:r>
    </w:p>
    <w:p>
      <w:pPr>
        <w:pStyle w:val="ListBullet"/>
      </w:pPr>
      <w:r>
        <w:t>Historical versions remain available for audit.</w:t>
      </w:r>
    </w:p>
    <w:p>
      <w:pPr>
        <w:pStyle w:val="Heading2"/>
      </w:pPr>
      <w:r>
        <w:t>6.6 Exception Handling</w:t>
      </w:r>
    </w:p>
    <w:p>
      <w:r>
        <w:t>If no active guidance exists, the operational workflow continues normally. Errors retrieving guidance must not prevent the completion of essential care tasks; failures should be logged for review.</w:t>
      </w:r>
    </w:p>
    <w:p>
      <w:pPr>
        <w:pStyle w:val="Heading2"/>
      </w:pPr>
      <w:r>
        <w:t>6.7 Integration</w:t>
      </w:r>
    </w:p>
    <w:p>
      <w:pPr>
        <w:pStyle w:val="ListBullet"/>
      </w:pPr>
      <w:r>
        <w:t>Activity Log records creation and maintenance of guidance.</w:t>
      </w:r>
    </w:p>
    <w:p>
      <w:pPr>
        <w:pStyle w:val="ListBullet"/>
      </w:pPr>
      <w:r>
        <w:t>Management Notes remain separate and document post-event observations.</w:t>
      </w:r>
    </w:p>
    <w:p>
      <w:pPr>
        <w:pStyle w:val="ListBullet"/>
      </w:pPr>
      <w:r>
        <w:t>Actions may be created when guidance requires follow-up.</w:t>
      </w:r>
    </w:p>
    <w:p>
      <w:pPr>
        <w:pStyle w:val="ListBullet"/>
      </w:pPr>
      <w:r>
        <w:t>Acknowledgements may be integrated in future versions for critical guidance.</w:t>
      </w:r>
    </w:p>
    <w:p>
      <w:pPr>
        <w:pStyle w:val="Heading2"/>
      </w:pPr>
      <w:r>
        <w:t>6.8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Guidance displayed before or during care.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never blocks essential care.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Operational modules share one workflow.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Guidance remains read-only for Support Workers.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Historical guidance retained.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