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NHPSG Manager</w:t>
      </w:r>
    </w:p>
    <w:p>
      <w:pPr>
        <w:pStyle w:val="Heading1"/>
        <w:jc w:val="center"/>
      </w:pPr>
      <w:r>
        <w:t>Medication Module Specification</w:t>
      </w:r>
    </w:p>
    <w:p>
      <w:pPr>
        <w:pStyle w:val="Heading1"/>
        <w:jc w:val="center"/>
      </w:pPr>
      <w:r>
        <w:t>Version 1.0</w:t>
      </w:r>
    </w:p>
    <w:p>
      <w:pPr>
        <w:jc w:val="center"/>
      </w:pPr>
      <w:r>
        <w:rPr>
          <w:b/>
        </w:rPr>
        <w:t>Appendix G – Reporting Catalogue</w:t>
      </w:r>
    </w:p>
    <w:p>
      <w:r>
        <w:br w:type="page"/>
      </w:r>
    </w:p>
    <w:p>
      <w:pPr>
        <w:pStyle w:val="Heading2"/>
      </w:pPr>
      <w:r>
        <w:t>G.1 Purpose</w:t>
      </w:r>
    </w:p>
    <w:p>
      <w:r>
        <w:t>This appendix documents the reports available within the Medication Module. It serves as the reference for operational, management and audit reporting and will be expanded as new reports are introduced.</w:t>
      </w:r>
    </w:p>
    <w:p>
      <w:pPr>
        <w:pStyle w:val="Heading2"/>
      </w:pPr>
      <w:r>
        <w:t>G.2 Version 1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Report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Medication Administration History</w:t>
            </w:r>
          </w:p>
        </w:tc>
        <w:tc>
          <w:tcPr>
            <w:tcW w:type="dxa" w:w="2880"/>
          </w:tcPr>
          <w:p>
            <w:r>
              <w:t>Complete administration history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Medication Due Report</w:t>
            </w:r>
          </w:p>
        </w:tc>
        <w:tc>
          <w:tcPr>
            <w:tcW w:type="dxa" w:w="2880"/>
          </w:tcPr>
          <w:p>
            <w:r>
              <w:t>Medications due by client/shift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PRN Medication Report</w:t>
            </w:r>
          </w:p>
        </w:tc>
        <w:tc>
          <w:tcPr>
            <w:tcW w:type="dxa" w:w="2880"/>
          </w:tcPr>
          <w:p>
            <w:r>
              <w:t>History of PRN administrations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Medication Exception Report</w:t>
            </w:r>
          </w:p>
        </w:tc>
        <w:tc>
          <w:tcPr>
            <w:tcW w:type="dxa" w:w="2880"/>
          </w:tcPr>
          <w:p>
            <w:r>
              <w:t>Refused, omitted and missed doses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Management Review Report</w:t>
            </w:r>
          </w:p>
        </w:tc>
        <w:tc>
          <w:tcPr>
            <w:tcW w:type="dxa" w:w="2880"/>
          </w:tcPr>
          <w:p>
            <w:r>
              <w:t>Management oversight and review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Activity Log Report</w:t>
            </w:r>
          </w:p>
        </w:tc>
        <w:tc>
          <w:tcPr>
            <w:tcW w:type="dxa" w:w="2880"/>
          </w:tcPr>
          <w:p>
            <w:r>
              <w:t>Medication-related audit events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</w:tbl>
    <w:p>
      <w:pPr>
        <w:pStyle w:val="Heading2"/>
      </w:pPr>
      <w:r>
        <w:t>G.3 Standard Report Filters</w:t>
      </w:r>
    </w:p>
    <w:p>
      <w:pPr>
        <w:pStyle w:val="ListBullet"/>
      </w:pPr>
      <w:r>
        <w:t>Client</w:t>
      </w:r>
    </w:p>
    <w:p>
      <w:pPr>
        <w:pStyle w:val="ListBullet"/>
      </w:pPr>
      <w:r>
        <w:t>Medication</w:t>
      </w:r>
    </w:p>
    <w:p>
      <w:pPr>
        <w:pStyle w:val="ListBullet"/>
      </w:pPr>
      <w:r>
        <w:t>Date range</w:t>
      </w:r>
    </w:p>
    <w:p>
      <w:pPr>
        <w:pStyle w:val="ListBullet"/>
      </w:pPr>
      <w:r>
        <w:t>Shift</w:t>
      </w:r>
    </w:p>
    <w:p>
      <w:pPr>
        <w:pStyle w:val="ListBullet"/>
      </w:pPr>
      <w:r>
        <w:t>Support Worker</w:t>
      </w:r>
    </w:p>
    <w:p>
      <w:pPr>
        <w:pStyle w:val="ListBullet"/>
      </w:pPr>
      <w:r>
        <w:t>Outcome</w:t>
      </w:r>
    </w:p>
    <w:p>
      <w:pPr>
        <w:pStyle w:val="ListBullet"/>
      </w:pPr>
      <w:r>
        <w:t>PRN only</w:t>
      </w:r>
    </w:p>
    <w:p>
      <w:pPr>
        <w:pStyle w:val="ListBullet"/>
      </w:pPr>
      <w:r>
        <w:t>Exception only</w:t>
      </w:r>
    </w:p>
    <w:p>
      <w:pPr>
        <w:pStyle w:val="Heading2"/>
      </w:pPr>
      <w:r>
        <w:t>G.4 Future Reporting Enhancements</w:t>
      </w:r>
    </w:p>
    <w:p>
      <w:pPr>
        <w:pStyle w:val="ListBullet"/>
      </w:pPr>
      <w:r>
        <w:t>Medication compliance trends</w:t>
      </w:r>
    </w:p>
    <w:p>
      <w:pPr>
        <w:pStyle w:val="ListBullet"/>
      </w:pPr>
      <w:r>
        <w:t>Dashboard analytics</w:t>
      </w:r>
    </w:p>
    <w:p>
      <w:pPr>
        <w:pStyle w:val="ListBullet"/>
      </w:pPr>
      <w:r>
        <w:t>Medication timing analysis</w:t>
      </w:r>
    </w:p>
    <w:p>
      <w:pPr>
        <w:pStyle w:val="ListBullet"/>
      </w:pPr>
      <w:r>
        <w:t>Inventory reporting</w:t>
      </w:r>
    </w:p>
    <w:p>
      <w:pPr>
        <w:pStyle w:val="ListBullet"/>
      </w:pPr>
      <w:r>
        <w:t>Controlled medication reporting</w:t>
      </w:r>
    </w:p>
    <w:p>
      <w:pPr>
        <w:pStyle w:val="ListBullet"/>
      </w:pPr>
      <w:r>
        <w:t>Export to PDF and Excel</w:t>
      </w:r>
    </w:p>
    <w:p>
      <w:pPr>
        <w:pStyle w:val="Heading2"/>
      </w:pPr>
      <w:r>
        <w:t>G.5 Implementation Notes</w:t>
      </w:r>
    </w:p>
    <w:p>
      <w:r>
        <w:t>During implementation this appendix will be updated with report layouts, SQL queries or data sources, security requirements, available filters, export options and example report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