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NHPSG Manager</w:t>
      </w:r>
    </w:p>
    <w:p>
      <w:pPr>
        <w:pStyle w:val="Heading1"/>
        <w:jc w:val="center"/>
      </w:pPr>
      <w:r>
        <w:t>Medication Module Specification</w:t>
      </w:r>
    </w:p>
    <w:p>
      <w:pPr>
        <w:pStyle w:val="Heading1"/>
        <w:jc w:val="center"/>
      </w:pPr>
      <w:r>
        <w:t>Version 1.0</w:t>
      </w:r>
    </w:p>
    <w:p>
      <w:pPr>
        <w:jc w:val="center"/>
      </w:pPr>
      <w:r>
        <w:rPr>
          <w:b/>
        </w:rPr>
        <w:t>Chapter 10 – Module Governance &amp; Future Roadmap</w:t>
      </w:r>
    </w:p>
    <w:p>
      <w:r>
        <w:br w:type="page"/>
      </w:r>
    </w:p>
    <w:p>
      <w:pPr>
        <w:pStyle w:val="Heading2"/>
      </w:pPr>
      <w:r>
        <w:t>10.1 Purpose</w:t>
      </w:r>
    </w:p>
    <w:p>
      <w:r>
        <w:t>This chapter defines the governance principles for the Medication Module and documents the planned roadmap for future development. The objective is to ensure that future enhancements extend the module without requiring architectural redesign.</w:t>
      </w:r>
    </w:p>
    <w:p>
      <w:pPr>
        <w:pStyle w:val="Heading2"/>
      </w:pPr>
      <w:r>
        <w:t>10.2 Governance Principles</w:t>
      </w:r>
    </w:p>
    <w:p>
      <w:pPr>
        <w:pStyle w:val="ListBullet"/>
      </w:pPr>
      <w:r>
        <w:t>Maintain a single architectural vision.</w:t>
      </w:r>
    </w:p>
    <w:p>
      <w:pPr>
        <w:pStyle w:val="ListBullet"/>
      </w:pPr>
      <w:r>
        <w:t>Reuse NHPSG Core Frameworks wherever possible.</w:t>
      </w:r>
    </w:p>
    <w:p>
      <w:pPr>
        <w:pStyle w:val="ListBullet"/>
      </w:pPr>
      <w:r>
        <w:t>Preserve backward compatibility.</w:t>
      </w:r>
    </w:p>
    <w:p>
      <w:pPr>
        <w:pStyle w:val="ListBullet"/>
      </w:pPr>
      <w:r>
        <w:t>Prioritize client safety.</w:t>
      </w:r>
    </w:p>
    <w:p>
      <w:pPr>
        <w:pStyle w:val="ListBullet"/>
      </w:pPr>
      <w:r>
        <w:t>Ensure every enhancement remains auditable.</w:t>
      </w:r>
    </w:p>
    <w:p>
      <w:pPr>
        <w:pStyle w:val="Heading2"/>
      </w:pPr>
      <w:r>
        <w:t>10.3 Version 1 Deliverables</w:t>
      </w:r>
    </w:p>
    <w:p>
      <w:pPr>
        <w:pStyle w:val="ListBullet"/>
      </w:pPr>
      <w:r>
        <w:t>Medication administration.</w:t>
      </w:r>
    </w:p>
    <w:p>
      <w:pPr>
        <w:pStyle w:val="ListBullet"/>
      </w:pPr>
      <w:r>
        <w:t>Scheduled medications.</w:t>
      </w:r>
    </w:p>
    <w:p>
      <w:pPr>
        <w:pStyle w:val="ListBullet"/>
      </w:pPr>
      <w:r>
        <w:t>PRN medications.</w:t>
      </w:r>
    </w:p>
    <w:p>
      <w:pPr>
        <w:pStyle w:val="ListBullet"/>
      </w:pPr>
      <w:r>
        <w:t>Management review.</w:t>
      </w:r>
    </w:p>
    <w:p>
      <w:pPr>
        <w:pStyle w:val="ListBullet"/>
      </w:pPr>
      <w:r>
        <w:t>Activity Log integration.</w:t>
      </w:r>
    </w:p>
    <w:p>
      <w:pPr>
        <w:pStyle w:val="ListBullet"/>
      </w:pPr>
      <w:r>
        <w:t>Care Guidance integration.</w:t>
      </w:r>
    </w:p>
    <w:p>
      <w:pPr>
        <w:pStyle w:val="ListBullet"/>
      </w:pPr>
      <w:r>
        <w:t>Reporting.</w:t>
      </w:r>
    </w:p>
    <w:p>
      <w:pPr>
        <w:pStyle w:val="Heading2"/>
      </w:pPr>
      <w:r>
        <w:t>10.4 Planned Future Enhancements</w:t>
      </w:r>
    </w:p>
    <w:tbl>
      <w:tblPr>
        <w:tblStyle w:val="TableGrid"/>
        <w:tblW w:type="auto" w:w="0"/>
        <w:tblLook w:firstColumn="1" w:firstRow="1" w:lastColumn="0" w:lastRow="0" w:noHBand="0" w:noVBand="1" w:val="04A0"/>
      </w:tblPr>
      <w:tblGrid>
        <w:gridCol w:w="4320"/>
        <w:gridCol w:w="4320"/>
      </w:tblGrid>
      <w:tr>
        <w:tc>
          <w:tcPr>
            <w:tcW w:type="dxa" w:w="4320"/>
          </w:tcPr>
          <w:p>
            <w:r>
              <w:t>Enhancement</w:t>
            </w:r>
          </w:p>
        </w:tc>
        <w:tc>
          <w:tcPr>
            <w:tcW w:type="dxa" w:w="4320"/>
          </w:tcPr>
          <w:p>
            <w:r>
              <w:t>Planned Version</w:t>
            </w:r>
          </w:p>
        </w:tc>
      </w:tr>
      <w:tr>
        <w:tc>
          <w:tcPr>
            <w:tcW w:type="dxa" w:w="4320"/>
          </w:tcPr>
          <w:p>
            <w:r>
              <w:t>Barcode medication verification</w:t>
            </w:r>
          </w:p>
        </w:tc>
        <w:tc>
          <w:tcPr>
            <w:tcW w:type="dxa" w:w="4320"/>
          </w:tcPr>
          <w:p>
            <w:r>
              <w:t>Version 2+</w:t>
            </w:r>
          </w:p>
        </w:tc>
      </w:tr>
      <w:tr>
        <w:tc>
          <w:tcPr>
            <w:tcW w:type="dxa" w:w="4320"/>
          </w:tcPr>
          <w:p>
            <w:r>
              <w:t>Medication inventory management</w:t>
            </w:r>
          </w:p>
        </w:tc>
        <w:tc>
          <w:tcPr>
            <w:tcW w:type="dxa" w:w="4320"/>
          </w:tcPr>
          <w:p>
            <w:r>
              <w:t>Version 2+</w:t>
            </w:r>
          </w:p>
        </w:tc>
      </w:tr>
      <w:tr>
        <w:tc>
          <w:tcPr>
            <w:tcW w:type="dxa" w:w="4320"/>
          </w:tcPr>
          <w:p>
            <w:r>
              <w:t>External pharmacy integration</w:t>
            </w:r>
          </w:p>
        </w:tc>
        <w:tc>
          <w:tcPr>
            <w:tcW w:type="dxa" w:w="4320"/>
          </w:tcPr>
          <w:p>
            <w:r>
              <w:t>Version 2+</w:t>
            </w:r>
          </w:p>
        </w:tc>
      </w:tr>
      <w:tr>
        <w:tc>
          <w:tcPr>
            <w:tcW w:type="dxa" w:w="4320"/>
          </w:tcPr>
          <w:p>
            <w:r>
              <w:t>Electronic prescribing</w:t>
            </w:r>
          </w:p>
        </w:tc>
        <w:tc>
          <w:tcPr>
            <w:tcW w:type="dxa" w:w="4320"/>
          </w:tcPr>
          <w:p>
            <w:r>
              <w:t>Future</w:t>
            </w:r>
          </w:p>
        </w:tc>
      </w:tr>
      <w:tr>
        <w:tc>
          <w:tcPr>
            <w:tcW w:type="dxa" w:w="4320"/>
          </w:tcPr>
          <w:p>
            <w:r>
              <w:t>Controlled medication workflows</w:t>
            </w:r>
          </w:p>
        </w:tc>
        <w:tc>
          <w:tcPr>
            <w:tcW w:type="dxa" w:w="4320"/>
          </w:tcPr>
          <w:p>
            <w:r>
              <w:t>Future</w:t>
            </w:r>
          </w:p>
        </w:tc>
      </w:tr>
      <w:tr>
        <w:tc>
          <w:tcPr>
            <w:tcW w:type="dxa" w:w="4320"/>
          </w:tcPr>
          <w:p>
            <w:r>
              <w:t>Advanced analytics and dashboards</w:t>
            </w:r>
          </w:p>
        </w:tc>
        <w:tc>
          <w:tcPr>
            <w:tcW w:type="dxa" w:w="4320"/>
          </w:tcPr>
          <w:p>
            <w:r>
              <w:t>Future</w:t>
            </w:r>
          </w:p>
        </w:tc>
      </w:tr>
    </w:tbl>
    <w:p>
      <w:pPr>
        <w:pStyle w:val="Heading2"/>
      </w:pPr>
      <w:r>
        <w:t>10.5 Governance Responsibilities</w:t>
      </w:r>
    </w:p>
    <w:p>
      <w:pPr>
        <w:pStyle w:val="ListBullet"/>
      </w:pPr>
      <w:r>
        <w:t>Approve architectural changes.</w:t>
      </w:r>
    </w:p>
    <w:p>
      <w:pPr>
        <w:pStyle w:val="ListBullet"/>
      </w:pPr>
      <w:r>
        <w:t>Maintain documentation.</w:t>
      </w:r>
    </w:p>
    <w:p>
      <w:pPr>
        <w:pStyle w:val="ListBullet"/>
      </w:pPr>
      <w:r>
        <w:t>Review future enhancements.</w:t>
      </w:r>
    </w:p>
    <w:p>
      <w:pPr>
        <w:pStyle w:val="ListBullet"/>
      </w:pPr>
      <w:r>
        <w:t>Ensure consistency with NHPSG standards.</w:t>
      </w:r>
    </w:p>
    <w:p>
      <w:pPr>
        <w:pStyle w:val="ListBullet"/>
      </w:pPr>
      <w:r>
        <w:t>Protect long-term platform stability.</w:t>
      </w:r>
    </w:p>
    <w:p>
      <w:pPr>
        <w:pStyle w:val="Heading2"/>
      </w:pPr>
      <w:r>
        <w:t>10.6 Approved Design Decisions</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Status</w:t>
            </w:r>
          </w:p>
        </w:tc>
      </w:tr>
      <w:tr>
        <w:tc>
          <w:tcPr>
            <w:tcW w:type="dxa" w:w="4320"/>
          </w:tcPr>
          <w:p>
            <w:r>
              <w:t>Version 1 establishes the long-term architectural foundation.</w:t>
            </w:r>
          </w:p>
        </w:tc>
        <w:tc>
          <w:tcPr>
            <w:tcW w:type="dxa" w:w="4320"/>
          </w:tcPr>
          <w:p>
            <w:r>
              <w:t>Approved</w:t>
            </w:r>
          </w:p>
        </w:tc>
      </w:tr>
      <w:tr>
        <w:tc>
          <w:tcPr>
            <w:tcW w:type="dxa" w:w="4320"/>
          </w:tcPr>
          <w:p>
            <w:r>
              <w:t>Future versions extend rather than redesign the module.</w:t>
            </w:r>
          </w:p>
        </w:tc>
        <w:tc>
          <w:tcPr>
            <w:tcW w:type="dxa" w:w="4320"/>
          </w:tcPr>
          <w:p>
            <w:r>
              <w:t>Approved</w:t>
            </w:r>
          </w:p>
        </w:tc>
      </w:tr>
      <w:tr>
        <w:tc>
          <w:tcPr>
            <w:tcW w:type="dxa" w:w="4320"/>
          </w:tcPr>
          <w:p>
            <w:r>
              <w:t>Shared NHPSG frameworks remain the preferred architecture.</w:t>
            </w:r>
          </w:p>
        </w:tc>
        <w:tc>
          <w:tcPr>
            <w:tcW w:type="dxa" w:w="4320"/>
          </w:tcPr>
          <w:p>
            <w:r>
              <w:t>Approved</w:t>
            </w:r>
          </w:p>
        </w:tc>
      </w:tr>
      <w:tr>
        <w:tc>
          <w:tcPr>
            <w:tcW w:type="dxa" w:w="4320"/>
          </w:tcPr>
          <w:p>
            <w:r>
              <w:t>Documentation is maintained alongside development.</w:t>
            </w:r>
          </w:p>
        </w:tc>
        <w:tc>
          <w:tcPr>
            <w:tcW w:type="dxa" w:w="4320"/>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