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NHPSG Manager</w:t>
      </w:r>
    </w:p>
    <w:p>
      <w:pPr>
        <w:pStyle w:val="Heading1"/>
        <w:jc w:val="center"/>
      </w:pPr>
      <w:r>
        <w:t>Medication Module Specification</w:t>
      </w:r>
    </w:p>
    <w:p>
      <w:pPr>
        <w:pStyle w:val="Heading1"/>
        <w:jc w:val="center"/>
      </w:pPr>
      <w:r>
        <w:t>Version 1.0</w:t>
      </w:r>
    </w:p>
    <w:p>
      <w:pPr>
        <w:jc w:val="center"/>
      </w:pPr>
      <w:r>
        <w:rPr>
          <w:b/>
        </w:rPr>
        <w:t>Chapter 1 – Executive Summary</w:t>
      </w:r>
    </w:p>
    <w:p>
      <w:r>
        <w:br w:type="page"/>
      </w:r>
    </w:p>
    <w:p>
      <w:pPr>
        <w:pStyle w:val="Heading2"/>
      </w:pPr>
      <w:r>
        <w:t>1.1 Purpose</w:t>
      </w:r>
    </w:p>
    <w:p>
      <w:r>
        <w:t>The Medication Module manages the complete medication administration workflow within NHPSG Manager. It provides staff with clear, structured medication administration processes while integrating with the platform's shared core frameworks, including Care Guidance, Activity Log, Actions, Acknowledgements, and Management Notes.</w:t>
      </w:r>
    </w:p>
    <w:p>
      <w:pPr>
        <w:pStyle w:val="Heading2"/>
      </w:pPr>
      <w:r>
        <w:t>1.2 Vision</w:t>
      </w:r>
    </w:p>
    <w:p>
      <w:r>
        <w:t>Provide a safe, reliable, and auditable medication management solution that supports person-centred care, minimizes administration errors, and delivers management oversight without increasing the administrative burden on support staff.</w:t>
      </w:r>
    </w:p>
    <w:p>
      <w:pPr>
        <w:pStyle w:val="Heading2"/>
      </w:pPr>
      <w:r>
        <w:t>1.3 Objectives</w:t>
      </w:r>
    </w:p>
    <w:p>
      <w:pPr>
        <w:pStyle w:val="ListBullet"/>
      </w:pPr>
      <w:r>
        <w:t>Support scheduled and as-required (PRN) medications.</w:t>
      </w:r>
    </w:p>
    <w:p>
      <w:pPr>
        <w:pStyle w:val="ListBullet"/>
      </w:pPr>
      <w:r>
        <w:t>Provide clear medication instructions using the Care Guidance Framework.</w:t>
      </w:r>
    </w:p>
    <w:p>
      <w:pPr>
        <w:pStyle w:val="ListBullet"/>
      </w:pPr>
      <w:r>
        <w:t>Record every administration attempt with a permanent audit trail.</w:t>
      </w:r>
    </w:p>
    <w:p>
      <w:pPr>
        <w:pStyle w:val="ListBullet"/>
      </w:pPr>
      <w:r>
        <w:t>Support refusals, omissions, delayed doses, and other outcomes.</w:t>
      </w:r>
    </w:p>
    <w:p>
      <w:pPr>
        <w:pStyle w:val="ListBullet"/>
      </w:pPr>
      <w:r>
        <w:t>Generate management reports and medication history.</w:t>
      </w:r>
    </w:p>
    <w:p>
      <w:pPr>
        <w:pStyle w:val="ListBullet"/>
      </w:pPr>
      <w:r>
        <w:t>Integrate seamlessly with NHPSG Manager dashboards and notifications.</w:t>
      </w:r>
    </w:p>
    <w:p>
      <w:pPr>
        <w:pStyle w:val="Heading2"/>
      </w:pPr>
      <w:r>
        <w:t>1.4 Scope</w:t>
      </w:r>
    </w:p>
    <w:p>
      <w:r>
        <w:t>Version 1 focuses on day-to-day medication administration, recording, review, and reporting. Advanced capabilities such as electronic MAR imports, barcode scanning, pharmacy integration, and controlled-substance inventory management are intentionally excluded and may be considered in future versions.</w:t>
      </w:r>
    </w:p>
    <w:p>
      <w:pPr>
        <w:pStyle w:val="Heading2"/>
      </w:pPr>
      <w:r>
        <w:t>1.5 Relationship to NHPSG Core Frameworks</w:t>
      </w:r>
    </w:p>
    <w:tbl>
      <w:tblPr>
        <w:tblStyle w:val="TableGrid"/>
        <w:tblW w:type="auto" w:w="0"/>
        <w:tblLook w:firstColumn="1" w:firstRow="1" w:lastColumn="0" w:lastRow="0" w:noHBand="0" w:noVBand="1" w:val="04A0"/>
      </w:tblPr>
      <w:tblGrid>
        <w:gridCol w:w="4320"/>
        <w:gridCol w:w="4320"/>
      </w:tblGrid>
      <w:tr>
        <w:tc>
          <w:tcPr>
            <w:tcW w:type="dxa" w:w="4320"/>
          </w:tcPr>
          <w:p>
            <w:r>
              <w:t>Framework</w:t>
            </w:r>
          </w:p>
        </w:tc>
        <w:tc>
          <w:tcPr>
            <w:tcW w:type="dxa" w:w="4320"/>
          </w:tcPr>
          <w:p>
            <w:r>
              <w:t>Role</w:t>
            </w:r>
          </w:p>
        </w:tc>
      </w:tr>
      <w:tr>
        <w:tc>
          <w:tcPr>
            <w:tcW w:type="dxa" w:w="4320"/>
          </w:tcPr>
          <w:p>
            <w:r>
              <w:t>Care Guidance</w:t>
            </w:r>
          </w:p>
        </w:tc>
        <w:tc>
          <w:tcPr>
            <w:tcW w:type="dxa" w:w="4320"/>
          </w:tcPr>
          <w:p>
            <w:r>
              <w:t>Displays medication-specific guidance during administration.</w:t>
            </w:r>
          </w:p>
        </w:tc>
      </w:tr>
      <w:tr>
        <w:tc>
          <w:tcPr>
            <w:tcW w:type="dxa" w:w="4320"/>
          </w:tcPr>
          <w:p>
            <w:r>
              <w:t>Activity Log</w:t>
            </w:r>
          </w:p>
        </w:tc>
        <w:tc>
          <w:tcPr>
            <w:tcW w:type="dxa" w:w="4320"/>
          </w:tcPr>
          <w:p>
            <w:r>
              <w:t>Records all medication lifecycle events.</w:t>
            </w:r>
          </w:p>
        </w:tc>
      </w:tr>
      <w:tr>
        <w:tc>
          <w:tcPr>
            <w:tcW w:type="dxa" w:w="4320"/>
          </w:tcPr>
          <w:p>
            <w:r>
              <w:t>Actions</w:t>
            </w:r>
          </w:p>
        </w:tc>
        <w:tc>
          <w:tcPr>
            <w:tcW w:type="dxa" w:w="4320"/>
          </w:tcPr>
          <w:p>
            <w:r>
              <w:t>Creates follow-up actions where required.</w:t>
            </w:r>
          </w:p>
        </w:tc>
      </w:tr>
      <w:tr>
        <w:tc>
          <w:tcPr>
            <w:tcW w:type="dxa" w:w="4320"/>
          </w:tcPr>
          <w:p>
            <w:r>
              <w:t>Acknowledgements</w:t>
            </w:r>
          </w:p>
        </w:tc>
        <w:tc>
          <w:tcPr>
            <w:tcW w:type="dxa" w:w="4320"/>
          </w:tcPr>
          <w:p>
            <w:r>
              <w:t>Supports management review and acknowledgement.</w:t>
            </w:r>
          </w:p>
        </w:tc>
      </w:tr>
      <w:tr>
        <w:tc>
          <w:tcPr>
            <w:tcW w:type="dxa" w:w="4320"/>
          </w:tcPr>
          <w:p>
            <w:r>
              <w:t>Management Notes</w:t>
            </w:r>
          </w:p>
        </w:tc>
        <w:tc>
          <w:tcPr>
            <w:tcW w:type="dxa" w:w="4320"/>
          </w:tcPr>
          <w:p>
            <w:r>
              <w:t>Stores management-only observations related to medication events.</w:t>
            </w:r>
          </w:p>
        </w:tc>
      </w:tr>
    </w:tbl>
    <w:p>
      <w:pPr>
        <w:pStyle w:val="Heading2"/>
      </w:pPr>
      <w:r>
        <w:t>1.6 Guiding Principles</w:t>
      </w:r>
    </w:p>
    <w:p>
      <w:pPr>
        <w:pStyle w:val="ListBullet"/>
      </w:pPr>
      <w:r>
        <w:t>Safety before speed.</w:t>
      </w:r>
    </w:p>
    <w:p>
      <w:pPr>
        <w:pStyle w:val="ListBullet"/>
      </w:pPr>
      <w:r>
        <w:t>Single source of truth.</w:t>
      </w:r>
    </w:p>
    <w:p>
      <w:pPr>
        <w:pStyle w:val="ListBullet"/>
      </w:pPr>
      <w:r>
        <w:t>Person-centred care.</w:t>
      </w:r>
    </w:p>
    <w:p>
      <w:pPr>
        <w:pStyle w:val="ListBullet"/>
      </w:pPr>
      <w:r>
        <w:t>Consistent workflows.</w:t>
      </w:r>
    </w:p>
    <w:p>
      <w:pPr>
        <w:pStyle w:val="ListBullet"/>
      </w:pPr>
      <w:r>
        <w:t>Complete auditability.</w:t>
      </w:r>
    </w:p>
    <w:p>
      <w:pPr>
        <w:pStyle w:val="ListBullet"/>
      </w:pPr>
      <w:r>
        <w:t>Modular architecture through reusable core frameworks.</w:t>
      </w:r>
    </w:p>
    <w:p>
      <w:pPr>
        <w:pStyle w:val="Heading2"/>
      </w:pPr>
      <w:r>
        <w:t>1.7 Version 1 Boundaries</w:t>
      </w:r>
    </w:p>
    <w:p>
      <w:pPr>
        <w:pStyle w:val="ListBullet"/>
      </w:pPr>
      <w:r>
        <w:t>Medication administration only.</w:t>
      </w:r>
    </w:p>
    <w:p>
      <w:pPr>
        <w:pStyle w:val="ListBullet"/>
      </w:pPr>
      <w:r>
        <w:t>No pharmacy system integration.</w:t>
      </w:r>
    </w:p>
    <w:p>
      <w:pPr>
        <w:pStyle w:val="ListBullet"/>
      </w:pPr>
      <w:r>
        <w:t>No barcode scanning.</w:t>
      </w:r>
    </w:p>
    <w:p>
      <w:pPr>
        <w:pStyle w:val="ListBullet"/>
      </w:pPr>
      <w:r>
        <w:t>No inventory management.</w:t>
      </w:r>
    </w:p>
    <w:p>
      <w:pPr>
        <w:pStyle w:val="ListBullet"/>
      </w:pPr>
      <w:r>
        <w:t>Designed for future expansion without architectural redesign.</w:t>
      </w:r>
    </w:p>
    <w:p>
      <w:pPr>
        <w:pStyle w:val="Heading2"/>
      </w:pPr>
      <w:r>
        <w:t>1.8 Approved Design Decisions</w:t>
      </w:r>
    </w:p>
    <w:tbl>
      <w:tblPr>
        <w:tblStyle w:val="TableGrid"/>
        <w:tblW w:type="auto" w:w="0"/>
        <w:tblLook w:firstColumn="1" w:firstRow="1" w:lastColumn="0" w:lastRow="0" w:noHBand="0" w:noVBand="1" w:val="04A0"/>
      </w:tblPr>
      <w:tblGrid>
        <w:gridCol w:w="4320"/>
        <w:gridCol w:w="4320"/>
      </w:tblGrid>
      <w:tr>
        <w:tc>
          <w:tcPr>
            <w:tcW w:type="dxa" w:w="4320"/>
          </w:tcPr>
          <w:p>
            <w:r>
              <w:t>Decision</w:t>
            </w:r>
          </w:p>
        </w:tc>
        <w:tc>
          <w:tcPr>
            <w:tcW w:type="dxa" w:w="4320"/>
          </w:tcPr>
          <w:p>
            <w:r>
              <w:t>Status</w:t>
            </w:r>
          </w:p>
        </w:tc>
      </w:tr>
      <w:tr>
        <w:tc>
          <w:tcPr>
            <w:tcW w:type="dxa" w:w="4320"/>
          </w:tcPr>
          <w:p>
            <w:r>
              <w:t>Medication is an operational module built on NHPSG core frameworks.</w:t>
            </w:r>
          </w:p>
        </w:tc>
        <w:tc>
          <w:tcPr>
            <w:tcW w:type="dxa" w:w="4320"/>
          </w:tcPr>
          <w:p>
            <w:r>
              <w:t>Approved</w:t>
            </w:r>
          </w:p>
        </w:tc>
      </w:tr>
      <w:tr>
        <w:tc>
          <w:tcPr>
            <w:tcW w:type="dxa" w:w="4320"/>
          </w:tcPr>
          <w:p>
            <w:r>
              <w:t>Care Guidance provides medication instructions.</w:t>
            </w:r>
          </w:p>
        </w:tc>
        <w:tc>
          <w:tcPr>
            <w:tcW w:type="dxa" w:w="4320"/>
          </w:tcPr>
          <w:p>
            <w:r>
              <w:t>Approved</w:t>
            </w:r>
          </w:p>
        </w:tc>
      </w:tr>
      <w:tr>
        <w:tc>
          <w:tcPr>
            <w:tcW w:type="dxa" w:w="4320"/>
          </w:tcPr>
          <w:p>
            <w:r>
              <w:t>All significant events are recorded in the Activity Log.</w:t>
            </w:r>
          </w:p>
        </w:tc>
        <w:tc>
          <w:tcPr>
            <w:tcW w:type="dxa" w:w="4320"/>
          </w:tcPr>
          <w:p>
            <w:r>
              <w:t>Approved</w:t>
            </w:r>
          </w:p>
        </w:tc>
      </w:tr>
      <w:tr>
        <w:tc>
          <w:tcPr>
            <w:tcW w:type="dxa" w:w="4320"/>
          </w:tcPr>
          <w:p>
            <w:r>
              <w:t>Version history and auditability are fundamental design principles.</w:t>
            </w:r>
          </w:p>
        </w:tc>
        <w:tc>
          <w:tcPr>
            <w:tcW w:type="dxa" w:w="4320"/>
          </w:tcPr>
          <w:p>
            <w:r>
              <w:t>Approved</w:t>
            </w:r>
          </w:p>
        </w:tc>
      </w:tr>
      <w:tr>
        <w:tc>
          <w:tcPr>
            <w:tcW w:type="dxa" w:w="4320"/>
          </w:tcPr>
          <w:p>
            <w:r>
              <w:t>Future enhancements will extend the module without changing its core architecture.</w:t>
            </w:r>
          </w:p>
        </w:tc>
        <w:tc>
          <w:tcPr>
            <w:tcW w:type="dxa" w:w="4320"/>
          </w:tcPr>
          <w:p>
            <w:r>
              <w:t>Approved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