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NHPSG Manager</w:t>
      </w:r>
    </w:p>
    <w:p>
      <w:pPr>
        <w:pStyle w:val="Heading1"/>
        <w:jc w:val="center"/>
      </w:pPr>
      <w:r>
        <w:t>Medication Module Specification</w:t>
      </w:r>
    </w:p>
    <w:p>
      <w:pPr>
        <w:pStyle w:val="Heading1"/>
        <w:jc w:val="center"/>
      </w:pPr>
      <w:r>
        <w:t>Version 1.0</w:t>
      </w:r>
    </w:p>
    <w:p>
      <w:pPr>
        <w:jc w:val="center"/>
      </w:pPr>
      <w:r>
        <w:rPr>
          <w:b/>
        </w:rPr>
        <w:t>Chapter 2 – Overall Architecture</w:t>
      </w:r>
    </w:p>
    <w:p>
      <w:r>
        <w:br w:type="page"/>
      </w:r>
    </w:p>
    <w:p>
      <w:pPr>
        <w:pStyle w:val="Heading2"/>
      </w:pPr>
      <w:r>
        <w:t>2.1 Purpose</w:t>
      </w:r>
    </w:p>
    <w:p>
      <w:r>
        <w:t>This chapter defines the overall architecture of the Medication Module and its relationship to the NHPSG Manager platform. The module is an operational component that consumes shared core frameworks rather than duplicating functionality.</w:t>
      </w:r>
    </w:p>
    <w:p>
      <w:pPr>
        <w:pStyle w:val="Heading2"/>
      </w:pPr>
      <w:r>
        <w:t>2.2 Architectural Position</w:t>
      </w:r>
    </w:p>
    <w:p>
      <w:r>
        <w:t>The Medication Module sits above the NHPSG core frameworks. Medication administration, review and reporting rely on shared services including Care Guidance, Activity Log, Actions, Acknowledgements and Management Notes.</w:t>
      </w:r>
    </w:p>
    <w:p>
      <w:pPr>
        <w:pStyle w:val="Heading2"/>
      </w:pPr>
      <w:r>
        <w:t>2.3 Architectural Principles</w:t>
      </w:r>
    </w:p>
    <w:p>
      <w:pPr>
        <w:pStyle w:val="ListBullet"/>
      </w:pPr>
      <w:r>
        <w:t>Reuse shared core frameworks.</w:t>
      </w:r>
    </w:p>
    <w:p>
      <w:pPr>
        <w:pStyle w:val="ListBullet"/>
      </w:pPr>
      <w:r>
        <w:t>Single source of truth.</w:t>
      </w:r>
    </w:p>
    <w:p>
      <w:pPr>
        <w:pStyle w:val="ListBullet"/>
      </w:pPr>
      <w:r>
        <w:t>Complete auditability.</w:t>
      </w:r>
    </w:p>
    <w:p>
      <w:pPr>
        <w:pStyle w:val="ListBullet"/>
      </w:pPr>
      <w:r>
        <w:t>Modular architecture.</w:t>
      </w:r>
    </w:p>
    <w:p>
      <w:pPr>
        <w:pStyle w:val="ListBullet"/>
      </w:pPr>
      <w:r>
        <w:t>Future expansion without redesign.</w:t>
      </w:r>
    </w:p>
    <w:p>
      <w:pPr>
        <w:pStyle w:val="Heading2"/>
      </w:pPr>
      <w:r>
        <w:t>2.4 Core Framework Integration</w:t>
      </w:r>
    </w:p>
    <w:tbl>
      <w:tblPr>
        <w:tblStyle w:val="TableGrid"/>
        <w:tblW w:type="auto" w:w="0"/>
        <w:tblLook w:firstColumn="1" w:firstRow="1" w:lastColumn="0" w:lastRow="0" w:noHBand="0" w:noVBand="1" w:val="04A0"/>
      </w:tblPr>
      <w:tblGrid>
        <w:gridCol w:w="4320"/>
        <w:gridCol w:w="4320"/>
      </w:tblGrid>
      <w:tr>
        <w:tc>
          <w:tcPr>
            <w:tcW w:type="dxa" w:w="4320"/>
          </w:tcPr>
          <w:p>
            <w:r>
              <w:t>Framework</w:t>
            </w:r>
          </w:p>
        </w:tc>
        <w:tc>
          <w:tcPr>
            <w:tcW w:type="dxa" w:w="4320"/>
          </w:tcPr>
          <w:p>
            <w:r>
              <w:t>Usage</w:t>
            </w:r>
          </w:p>
        </w:tc>
      </w:tr>
      <w:tr>
        <w:tc>
          <w:tcPr>
            <w:tcW w:type="dxa" w:w="4320"/>
          </w:tcPr>
          <w:p>
            <w:r>
              <w:t>Care Guidance</w:t>
            </w:r>
          </w:p>
        </w:tc>
        <w:tc>
          <w:tcPr>
            <w:tcW w:type="dxa" w:w="4320"/>
          </w:tcPr>
          <w:p>
            <w:r>
              <w:t>Medication instructions at point of care.</w:t>
            </w:r>
          </w:p>
        </w:tc>
      </w:tr>
      <w:tr>
        <w:tc>
          <w:tcPr>
            <w:tcW w:type="dxa" w:w="4320"/>
          </w:tcPr>
          <w:p>
            <w:r>
              <w:t>Activity Log</w:t>
            </w:r>
          </w:p>
        </w:tc>
        <w:tc>
          <w:tcPr>
            <w:tcW w:type="dxa" w:w="4320"/>
          </w:tcPr>
          <w:p>
            <w:r>
              <w:t>Records all significant events.</w:t>
            </w:r>
          </w:p>
        </w:tc>
      </w:tr>
      <w:tr>
        <w:tc>
          <w:tcPr>
            <w:tcW w:type="dxa" w:w="4320"/>
          </w:tcPr>
          <w:p>
            <w:r>
              <w:t>Actions</w:t>
            </w:r>
          </w:p>
        </w:tc>
        <w:tc>
          <w:tcPr>
            <w:tcW w:type="dxa" w:w="4320"/>
          </w:tcPr>
          <w:p>
            <w:r>
              <w:t>Follow-up tasks.</w:t>
            </w:r>
          </w:p>
        </w:tc>
      </w:tr>
      <w:tr>
        <w:tc>
          <w:tcPr>
            <w:tcW w:type="dxa" w:w="4320"/>
          </w:tcPr>
          <w:p>
            <w:r>
              <w:t>Acknowledgements</w:t>
            </w:r>
          </w:p>
        </w:tc>
        <w:tc>
          <w:tcPr>
            <w:tcW w:type="dxa" w:w="4320"/>
          </w:tcPr>
          <w:p>
            <w:r>
              <w:t>Management acknowledgement.</w:t>
            </w:r>
          </w:p>
        </w:tc>
      </w:tr>
      <w:tr>
        <w:tc>
          <w:tcPr>
            <w:tcW w:type="dxa" w:w="4320"/>
          </w:tcPr>
          <w:p>
            <w:r>
              <w:t>Management Notes</w:t>
            </w:r>
          </w:p>
        </w:tc>
        <w:tc>
          <w:tcPr>
            <w:tcW w:type="dxa" w:w="4320"/>
          </w:tcPr>
          <w:p>
            <w:r>
              <w:t>Management-only notes.</w:t>
            </w:r>
          </w:p>
        </w:tc>
      </w:tr>
    </w:tbl>
    <w:p>
      <w:pPr>
        <w:pStyle w:val="Heading2"/>
      </w:pPr>
      <w:r>
        <w:t>2.5 High-Level Components</w:t>
      </w:r>
    </w:p>
    <w:p>
      <w:pPr>
        <w:pStyle w:val="ListBullet"/>
      </w:pPr>
      <w:r>
        <w:t>Medication administration</w:t>
      </w:r>
    </w:p>
    <w:p>
      <w:pPr>
        <w:pStyle w:val="ListBullet"/>
      </w:pPr>
      <w:r>
        <w:t>Scheduled medications</w:t>
      </w:r>
    </w:p>
    <w:p>
      <w:pPr>
        <w:pStyle w:val="ListBullet"/>
      </w:pPr>
      <w:r>
        <w:t>PRN medications</w:t>
      </w:r>
    </w:p>
    <w:p>
      <w:pPr>
        <w:pStyle w:val="ListBullet"/>
      </w:pPr>
      <w:r>
        <w:t>Medication history</w:t>
      </w:r>
    </w:p>
    <w:p>
      <w:pPr>
        <w:pStyle w:val="ListBullet"/>
      </w:pPr>
      <w:r>
        <w:t>Management review</w:t>
      </w:r>
    </w:p>
    <w:p>
      <w:pPr>
        <w:pStyle w:val="ListBullet"/>
      </w:pPr>
      <w:r>
        <w:t>Reporting</w:t>
      </w:r>
    </w:p>
    <w:p>
      <w:pPr>
        <w:pStyle w:val="ListBullet"/>
      </w:pPr>
      <w:r>
        <w:t>Dashboard integration</w:t>
      </w:r>
    </w:p>
    <w:p>
      <w:pPr>
        <w:pStyle w:val="Heading2"/>
      </w:pPr>
      <w:r>
        <w:t>2.6 External Interfaces</w:t>
      </w:r>
    </w:p>
    <w:p>
      <w:pPr>
        <w:pStyle w:val="ListBullet"/>
      </w:pPr>
      <w:r>
        <w:t>Authentication</w:t>
      </w:r>
    </w:p>
    <w:p>
      <w:pPr>
        <w:pStyle w:val="ListBullet"/>
      </w:pPr>
      <w:r>
        <w:t>Clients</w:t>
      </w:r>
    </w:p>
    <w:p>
      <w:pPr>
        <w:pStyle w:val="ListBullet"/>
      </w:pPr>
      <w:r>
        <w:t>Shift Management</w:t>
      </w:r>
    </w:p>
    <w:p>
      <w:pPr>
        <w:pStyle w:val="ListBullet"/>
      </w:pPr>
      <w:r>
        <w:t>Dashboard</w:t>
      </w:r>
    </w:p>
    <w:p>
      <w:pPr>
        <w:pStyle w:val="ListBullet"/>
      </w:pPr>
      <w:r>
        <w:t>Future pharmacy integration</w:t>
      </w:r>
    </w:p>
    <w:p>
      <w:pPr>
        <w:pStyle w:val="Heading2"/>
      </w:pPr>
      <w:r>
        <w:t>2.7 Version 1 Boundaries</w:t>
      </w:r>
    </w:p>
    <w:p>
      <w:pPr>
        <w:pStyle w:val="ListBullet"/>
      </w:pPr>
      <w:r>
        <w:t>No pharmacy integration.</w:t>
      </w:r>
    </w:p>
    <w:p>
      <w:pPr>
        <w:pStyle w:val="ListBullet"/>
      </w:pPr>
      <w:r>
        <w:t>No barcode scanning.</w:t>
      </w:r>
    </w:p>
    <w:p>
      <w:pPr>
        <w:pStyle w:val="ListBullet"/>
      </w:pPr>
      <w:r>
        <w:t>No inventory management.</w:t>
      </w:r>
    </w:p>
    <w:p>
      <w:pPr>
        <w:pStyle w:val="ListBullet"/>
      </w:pPr>
      <w:r>
        <w:t>No electronic prescribing.</w:t>
      </w:r>
    </w:p>
    <w:p>
      <w:pPr>
        <w:pStyle w:val="ListBullet"/>
      </w:pPr>
      <w:r>
        <w:t>Prepared for future expansion.</w:t>
      </w:r>
    </w:p>
    <w:p>
      <w:pPr>
        <w:pStyle w:val="Heading2"/>
      </w:pPr>
      <w:r>
        <w:t>2.8 Approved Design Decisions</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Status</w:t>
            </w:r>
          </w:p>
        </w:tc>
      </w:tr>
      <w:tr>
        <w:tc>
          <w:tcPr>
            <w:tcW w:type="dxa" w:w="4320"/>
          </w:tcPr>
          <w:p>
            <w:r>
              <w:t>Medication consumes shared frameworks.</w:t>
            </w:r>
          </w:p>
        </w:tc>
        <w:tc>
          <w:tcPr>
            <w:tcW w:type="dxa" w:w="4320"/>
          </w:tcPr>
          <w:p>
            <w:r>
              <w:t>Approved</w:t>
            </w:r>
          </w:p>
        </w:tc>
      </w:tr>
      <w:tr>
        <w:tc>
          <w:tcPr>
            <w:tcW w:type="dxa" w:w="4320"/>
          </w:tcPr>
          <w:p>
            <w:r>
              <w:t>Care Guidance is the instruction source.</w:t>
            </w:r>
          </w:p>
        </w:tc>
        <w:tc>
          <w:tcPr>
            <w:tcW w:type="dxa" w:w="4320"/>
          </w:tcPr>
          <w:p>
            <w:r>
              <w:t>Approved</w:t>
            </w:r>
          </w:p>
        </w:tc>
      </w:tr>
      <w:tr>
        <w:tc>
          <w:tcPr>
            <w:tcW w:type="dxa" w:w="4320"/>
          </w:tcPr>
          <w:p>
            <w:r>
              <w:t>Operational workflows remain separate.</w:t>
            </w:r>
          </w:p>
        </w:tc>
        <w:tc>
          <w:tcPr>
            <w:tcW w:type="dxa" w:w="4320"/>
          </w:tcPr>
          <w:p>
            <w:r>
              <w:t>Approved</w:t>
            </w:r>
          </w:p>
        </w:tc>
      </w:tr>
      <w:tr>
        <w:tc>
          <w:tcPr>
            <w:tcW w:type="dxa" w:w="4320"/>
          </w:tcPr>
          <w:p>
            <w:r>
              <w:t>Activity Log provides audit trail.</w:t>
            </w:r>
          </w:p>
        </w:tc>
        <w:tc>
          <w:tcPr>
            <w:tcW w:type="dxa" w:w="4320"/>
          </w:tcPr>
          <w:p>
            <w:r>
              <w:t>Approved</w:t>
            </w:r>
          </w:p>
        </w:tc>
      </w:tr>
      <w:tr>
        <w:tc>
          <w:tcPr>
            <w:tcW w:type="dxa" w:w="4320"/>
          </w:tcPr>
          <w:p>
            <w:r>
              <w:t>Architecture is extensible.</w:t>
            </w:r>
          </w:p>
        </w:tc>
        <w:tc>
          <w:tcPr>
            <w:tcW w:type="dxa" w:w="4320"/>
          </w:tcPr>
          <w:p>
            <w:r>
              <w:t>Approved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