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NHPSG Manager</w:t>
      </w:r>
    </w:p>
    <w:p>
      <w:pPr>
        <w:pStyle w:val="Heading1"/>
        <w:jc w:val="center"/>
      </w:pPr>
      <w:r>
        <w:t>Medication Module Specification</w:t>
      </w:r>
    </w:p>
    <w:p>
      <w:pPr>
        <w:pStyle w:val="Heading1"/>
        <w:jc w:val="center"/>
      </w:pPr>
      <w:r>
        <w:t>Version 1.0</w:t>
      </w:r>
    </w:p>
    <w:p>
      <w:pPr>
        <w:jc w:val="center"/>
      </w:pPr>
      <w:r>
        <w:rPr>
          <w:b/>
        </w:rPr>
        <w:t>Chapter 5 – User Interface &amp; User Experience</w:t>
      </w:r>
    </w:p>
    <w:p>
      <w:r>
        <w:br w:type="page"/>
      </w:r>
    </w:p>
    <w:p>
      <w:pPr>
        <w:pStyle w:val="Heading2"/>
      </w:pPr>
      <w:r>
        <w:t>5.1 Purpose</w:t>
      </w:r>
    </w:p>
    <w:p>
      <w:r>
        <w:t>This chapter defines the user interface and user experience principles for the Medication Module. The interface is designed to promote safe medication administration while remaining simple, consistent, and efficient for support workers.</w:t>
      </w:r>
    </w:p>
    <w:p>
      <w:pPr>
        <w:pStyle w:val="Heading2"/>
      </w:pPr>
      <w:r>
        <w:t>5.2 User Experience Objectives</w:t>
      </w:r>
    </w:p>
    <w:p>
      <w:pPr>
        <w:pStyle w:val="ListBullet"/>
      </w:pPr>
      <w:r>
        <w:t>Minimize medication administration errors.</w:t>
      </w:r>
    </w:p>
    <w:p>
      <w:pPr>
        <w:pStyle w:val="ListBullet"/>
      </w:pPr>
      <w:r>
        <w:t>Present only relevant information.</w:t>
      </w:r>
    </w:p>
    <w:p>
      <w:pPr>
        <w:pStyle w:val="ListBullet"/>
      </w:pPr>
      <w:r>
        <w:t>Reduce unnecessary data entry.</w:t>
      </w:r>
    </w:p>
    <w:p>
      <w:pPr>
        <w:pStyle w:val="ListBullet"/>
      </w:pPr>
      <w:r>
        <w:t>Provide consistent workflows across NHPSG Manager.</w:t>
      </w:r>
    </w:p>
    <w:p>
      <w:pPr>
        <w:pStyle w:val="ListBullet"/>
      </w:pPr>
      <w:r>
        <w:t>Support desktop, tablet and mobile devices.</w:t>
      </w:r>
    </w:p>
    <w:p>
      <w:pPr>
        <w:pStyle w:val="Heading2"/>
      </w:pPr>
      <w:r>
        <w:t>5.3 Primary User Interfaces</w:t>
      </w:r>
    </w:p>
    <w:tbl>
      <w:tblPr>
        <w:tblStyle w:val="TableGrid"/>
        <w:tblW w:type="auto" w:w="0"/>
        <w:tblLook w:firstColumn="1" w:firstRow="1" w:lastColumn="0" w:lastRow="0" w:noHBand="0" w:noVBand="1" w:val="04A0"/>
      </w:tblPr>
      <w:tblGrid>
        <w:gridCol w:w="4320"/>
        <w:gridCol w:w="4320"/>
      </w:tblGrid>
      <w:tr>
        <w:tc>
          <w:tcPr>
            <w:tcW w:type="dxa" w:w="4320"/>
          </w:tcPr>
          <w:p>
            <w:r>
              <w:t>Screen</w:t>
            </w:r>
          </w:p>
        </w:tc>
        <w:tc>
          <w:tcPr>
            <w:tcW w:type="dxa" w:w="4320"/>
          </w:tcPr>
          <w:p>
            <w:r>
              <w:t>Purpose</w:t>
            </w:r>
          </w:p>
        </w:tc>
      </w:tr>
      <w:tr>
        <w:tc>
          <w:tcPr>
            <w:tcW w:type="dxa" w:w="4320"/>
          </w:tcPr>
          <w:p>
            <w:r>
              <w:t>Medication Dashboard</w:t>
            </w:r>
          </w:p>
        </w:tc>
        <w:tc>
          <w:tcPr>
            <w:tcW w:type="dxa" w:w="4320"/>
          </w:tcPr>
          <w:p>
            <w:r>
              <w:t>Display medications due during the shift.</w:t>
            </w:r>
          </w:p>
        </w:tc>
      </w:tr>
      <w:tr>
        <w:tc>
          <w:tcPr>
            <w:tcW w:type="dxa" w:w="4320"/>
          </w:tcPr>
          <w:p>
            <w:r>
              <w:t>Medication Administration</w:t>
            </w:r>
          </w:p>
        </w:tc>
        <w:tc>
          <w:tcPr>
            <w:tcW w:type="dxa" w:w="4320"/>
          </w:tcPr>
          <w:p>
            <w:r>
              <w:t>Record scheduled medication administration.</w:t>
            </w:r>
          </w:p>
        </w:tc>
      </w:tr>
      <w:tr>
        <w:tc>
          <w:tcPr>
            <w:tcW w:type="dxa" w:w="4320"/>
          </w:tcPr>
          <w:p>
            <w:r>
              <w:t>PRN Medication</w:t>
            </w:r>
          </w:p>
        </w:tc>
        <w:tc>
          <w:tcPr>
            <w:tcW w:type="dxa" w:w="4320"/>
          </w:tcPr>
          <w:p>
            <w:r>
              <w:t>Record PRN medication requests and administration.</w:t>
            </w:r>
          </w:p>
        </w:tc>
      </w:tr>
      <w:tr>
        <w:tc>
          <w:tcPr>
            <w:tcW w:type="dxa" w:w="4320"/>
          </w:tcPr>
          <w:p>
            <w:r>
              <w:t>Medication History</w:t>
            </w:r>
          </w:p>
        </w:tc>
        <w:tc>
          <w:tcPr>
            <w:tcW w:type="dxa" w:w="4320"/>
          </w:tcPr>
          <w:p>
            <w:r>
              <w:t>View historical medication records.</w:t>
            </w:r>
          </w:p>
        </w:tc>
      </w:tr>
      <w:tr>
        <w:tc>
          <w:tcPr>
            <w:tcW w:type="dxa" w:w="4320"/>
          </w:tcPr>
          <w:p>
            <w:r>
              <w:t>Management Review</w:t>
            </w:r>
          </w:p>
        </w:tc>
        <w:tc>
          <w:tcPr>
            <w:tcW w:type="dxa" w:w="4320"/>
          </w:tcPr>
          <w:p>
            <w:r>
              <w:t>Review medication events and management notes.</w:t>
            </w:r>
          </w:p>
        </w:tc>
      </w:tr>
      <w:tr>
        <w:tc>
          <w:tcPr>
            <w:tcW w:type="dxa" w:w="4320"/>
          </w:tcPr>
          <w:p>
            <w:r>
              <w:t>Medication Administration</w:t>
            </w:r>
          </w:p>
        </w:tc>
        <w:tc>
          <w:tcPr>
            <w:tcW w:type="dxa" w:w="4320"/>
          </w:tcPr>
          <w:p>
            <w:r>
              <w:t>Maintain medication definitions and schedules.</w:t>
            </w:r>
          </w:p>
        </w:tc>
      </w:tr>
    </w:tbl>
    <w:p>
      <w:pPr>
        <w:pStyle w:val="Heading2"/>
      </w:pPr>
      <w:r>
        <w:t>5.4 Interface Standards</w:t>
      </w:r>
    </w:p>
    <w:p>
      <w:pPr>
        <w:pStyle w:val="ListBullet"/>
      </w:pPr>
      <w:r>
        <w:t>Display Care Guidance prominently during administration.</w:t>
      </w:r>
    </w:p>
    <w:p>
      <w:pPr>
        <w:pStyle w:val="ListBullet"/>
      </w:pPr>
      <w:r>
        <w:t>Clearly identify medication priority or alerts.</w:t>
      </w:r>
    </w:p>
    <w:p>
      <w:pPr>
        <w:pStyle w:val="ListBullet"/>
      </w:pPr>
      <w:r>
        <w:t>Use consistent buttons and navigation.</w:t>
      </w:r>
    </w:p>
    <w:p>
      <w:pPr>
        <w:pStyle w:val="ListBullet"/>
      </w:pPr>
      <w:r>
        <w:t>Highlight validation errors immediately.</w:t>
      </w:r>
    </w:p>
    <w:p>
      <w:pPr>
        <w:pStyle w:val="ListBullet"/>
      </w:pPr>
      <w:r>
        <w:t>Keep management functions separate from operational workflows.</w:t>
      </w:r>
    </w:p>
    <w:p>
      <w:pPr>
        <w:pStyle w:val="Heading2"/>
      </w:pPr>
      <w:r>
        <w:t>5.5 Accessibility</w:t>
      </w:r>
    </w:p>
    <w:p>
      <w:pPr>
        <w:pStyle w:val="ListBullet"/>
      </w:pPr>
      <w:r>
        <w:t>Readable typography.</w:t>
      </w:r>
    </w:p>
    <w:p>
      <w:pPr>
        <w:pStyle w:val="ListBullet"/>
      </w:pPr>
      <w:r>
        <w:t>High-contrast visual indicators.</w:t>
      </w:r>
    </w:p>
    <w:p>
      <w:pPr>
        <w:pStyle w:val="ListBullet"/>
      </w:pPr>
      <w:r>
        <w:t>Responsive layouts.</w:t>
      </w:r>
    </w:p>
    <w:p>
      <w:pPr>
        <w:pStyle w:val="ListBullet"/>
      </w:pPr>
      <w:r>
        <w:t>Keyboard-friendly navigation where appropriate.</w:t>
      </w:r>
    </w:p>
    <w:p>
      <w:pPr>
        <w:pStyle w:val="Heading2"/>
      </w:pPr>
      <w:r>
        <w:t>5.6 Version 1 Boundaries</w:t>
      </w:r>
    </w:p>
    <w:p>
      <w:pPr>
        <w:pStyle w:val="ListBullet"/>
      </w:pPr>
      <w:r>
        <w:t>No barcode scanning interface.</w:t>
      </w:r>
    </w:p>
    <w:p>
      <w:pPr>
        <w:pStyle w:val="ListBullet"/>
      </w:pPr>
      <w:r>
        <w:t>No pharmacy integration screens.</w:t>
      </w:r>
    </w:p>
    <w:p>
      <w:pPr>
        <w:pStyle w:val="ListBullet"/>
      </w:pPr>
      <w:r>
        <w:t>No inventory management interface.</w:t>
      </w:r>
    </w:p>
    <w:p>
      <w:pPr>
        <w:pStyle w:val="ListBullet"/>
      </w:pPr>
      <w:r>
        <w:t>Prepared for future UI enhancements.</w:t>
      </w:r>
    </w:p>
    <w:p>
      <w:pPr>
        <w:pStyle w:val="Heading2"/>
      </w:pPr>
      <w:r>
        <w:t>5.7 Approved Design Decisions</w:t>
      </w:r>
    </w:p>
    <w:tbl>
      <w:tblPr>
        <w:tblStyle w:val="TableGrid"/>
        <w:tblW w:type="auto" w:w="0"/>
        <w:tblLook w:firstColumn="1" w:firstRow="1" w:lastColumn="0" w:lastRow="0" w:noHBand="0" w:noVBand="1" w:val="04A0"/>
      </w:tblPr>
      <w:tblGrid>
        <w:gridCol w:w="4320"/>
        <w:gridCol w:w="4320"/>
      </w:tblGrid>
      <w:tr>
        <w:tc>
          <w:tcPr>
            <w:tcW w:type="dxa" w:w="4320"/>
          </w:tcPr>
          <w:p>
            <w:r>
              <w:t>Decision</w:t>
            </w:r>
          </w:p>
        </w:tc>
        <w:tc>
          <w:tcPr>
            <w:tcW w:type="dxa" w:w="4320"/>
          </w:tcPr>
          <w:p>
            <w:r>
              <w:t>Status</w:t>
            </w:r>
          </w:p>
        </w:tc>
      </w:tr>
      <w:tr>
        <w:tc>
          <w:tcPr>
            <w:tcW w:type="dxa" w:w="4320"/>
          </w:tcPr>
          <w:p>
            <w:r>
              <w:t>Medication workflows prioritize simplicity and safety.</w:t>
            </w:r>
          </w:p>
        </w:tc>
        <w:tc>
          <w:tcPr>
            <w:tcW w:type="dxa" w:w="4320"/>
          </w:tcPr>
          <w:p>
            <w:r>
              <w:t>Approved</w:t>
            </w:r>
          </w:p>
        </w:tc>
      </w:tr>
      <w:tr>
        <w:tc>
          <w:tcPr>
            <w:tcW w:type="dxa" w:w="4320"/>
          </w:tcPr>
          <w:p>
            <w:r>
              <w:t>Care Guidance is displayed at the point of administration.</w:t>
            </w:r>
          </w:p>
        </w:tc>
        <w:tc>
          <w:tcPr>
            <w:tcW w:type="dxa" w:w="4320"/>
          </w:tcPr>
          <w:p>
            <w:r>
              <w:t>Approved</w:t>
            </w:r>
          </w:p>
        </w:tc>
      </w:tr>
      <w:tr>
        <w:tc>
          <w:tcPr>
            <w:tcW w:type="dxa" w:w="4320"/>
          </w:tcPr>
          <w:p>
            <w:r>
              <w:t>Operational and management interfaces remain separate.</w:t>
            </w:r>
          </w:p>
        </w:tc>
        <w:tc>
          <w:tcPr>
            <w:tcW w:type="dxa" w:w="4320"/>
          </w:tcPr>
          <w:p>
            <w:r>
              <w:t>Approved</w:t>
            </w:r>
          </w:p>
        </w:tc>
      </w:tr>
      <w:tr>
        <w:tc>
          <w:tcPr>
            <w:tcW w:type="dxa" w:w="4320"/>
          </w:tcPr>
          <w:p>
            <w:r>
              <w:t>User experience remains consistent with NHPSG Manager.</w:t>
            </w:r>
          </w:p>
        </w:tc>
        <w:tc>
          <w:tcPr>
            <w:tcW w:type="dxa" w:w="4320"/>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