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NHPSG Manager</w:t>
      </w:r>
    </w:p>
    <w:p>
      <w:pPr>
        <w:pStyle w:val="Heading1"/>
        <w:jc w:val="center"/>
      </w:pPr>
      <w:r>
        <w:t>Medication Module Specification</w:t>
      </w:r>
    </w:p>
    <w:p>
      <w:pPr>
        <w:pStyle w:val="Heading1"/>
        <w:jc w:val="center"/>
      </w:pPr>
      <w:r>
        <w:t>Version 1.0</w:t>
      </w:r>
    </w:p>
    <w:p>
      <w:pPr>
        <w:jc w:val="center"/>
      </w:pPr>
      <w:r>
        <w:rPr>
          <w:b/>
        </w:rPr>
        <w:t>Chapter 9 – Integration with NHPSG Core Frameworks</w:t>
      </w:r>
    </w:p>
    <w:p>
      <w:r>
        <w:br w:type="page"/>
      </w:r>
    </w:p>
    <w:p>
      <w:pPr>
        <w:pStyle w:val="Heading2"/>
      </w:pPr>
      <w:r>
        <w:t>9.1 Purpose</w:t>
      </w:r>
    </w:p>
    <w:p>
      <w:r>
        <w:t>This chapter describes how the Medication Module integrates with the shared NHPSG Core Frameworks. The module relies on these common services to provide consistency, reduce duplication and maintain a unified architecture.</w:t>
      </w:r>
    </w:p>
    <w:p>
      <w:pPr>
        <w:pStyle w:val="Heading2"/>
      </w:pPr>
      <w:r>
        <w:t>9.2 Integration Principles</w:t>
      </w:r>
    </w:p>
    <w:p>
      <w:pPr>
        <w:pStyle w:val="ListBullet"/>
      </w:pPr>
      <w:r>
        <w:t>Reuse shared platform services wherever possible.</w:t>
      </w:r>
    </w:p>
    <w:p>
      <w:pPr>
        <w:pStyle w:val="ListBullet"/>
      </w:pPr>
      <w:r>
        <w:t>Do not duplicate framework functionality.</w:t>
      </w:r>
    </w:p>
    <w:p>
      <w:pPr>
        <w:pStyle w:val="ListBullet"/>
      </w:pPr>
      <w:r>
        <w:t>Maintain a consistent user experience.</w:t>
      </w:r>
    </w:p>
    <w:p>
      <w:pPr>
        <w:pStyle w:val="ListBullet"/>
      </w:pPr>
      <w:r>
        <w:t>Ensure all integrations remain modular.</w:t>
      </w:r>
    </w:p>
    <w:p>
      <w:pPr>
        <w:pStyle w:val="ListBullet"/>
      </w:pPr>
      <w:r>
        <w:t>Support future framework enhancements.</w:t>
      </w:r>
    </w:p>
    <w:p>
      <w:pPr>
        <w:pStyle w:val="Heading2"/>
      </w:pPr>
      <w:r>
        <w:t>9.3 Core Framework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Integration</w:t>
            </w:r>
          </w:p>
        </w:tc>
      </w:tr>
      <w:tr>
        <w:tc>
          <w:tcPr>
            <w:tcW w:type="dxa" w:w="4320"/>
          </w:tcPr>
          <w:p>
            <w:r>
              <w:t>Care Guidance</w:t>
            </w:r>
          </w:p>
        </w:tc>
        <w:tc>
          <w:tcPr>
            <w:tcW w:type="dxa" w:w="4320"/>
          </w:tcPr>
          <w:p>
            <w:r>
              <w:t>Displays medication-specific guidance before administration.</w:t>
            </w:r>
          </w:p>
        </w:tc>
      </w:tr>
      <w:tr>
        <w:tc>
          <w:tcPr>
            <w:tcW w:type="dxa" w:w="4320"/>
          </w:tcPr>
          <w:p>
            <w:r>
              <w:t>Activity Log</w:t>
            </w:r>
          </w:p>
        </w:tc>
        <w:tc>
          <w:tcPr>
            <w:tcW w:type="dxa" w:w="4320"/>
          </w:tcPr>
          <w:p>
            <w:r>
              <w:t>Records all significant medication events.</w:t>
            </w:r>
          </w:p>
        </w:tc>
      </w:tr>
      <w:tr>
        <w:tc>
          <w:tcPr>
            <w:tcW w:type="dxa" w:w="4320"/>
          </w:tcPr>
          <w:p>
            <w:r>
              <w:t>Actions</w:t>
            </w:r>
          </w:p>
        </w:tc>
        <w:tc>
          <w:tcPr>
            <w:tcW w:type="dxa" w:w="4320"/>
          </w:tcPr>
          <w:p>
            <w:r>
              <w:t>Creates follow-up actions for medication issues.</w:t>
            </w:r>
          </w:p>
        </w:tc>
      </w:tr>
      <w:tr>
        <w:tc>
          <w:tcPr>
            <w:tcW w:type="dxa" w:w="4320"/>
          </w:tcPr>
          <w:p>
            <w:r>
              <w:t>Acknowledgements</w:t>
            </w:r>
          </w:p>
        </w:tc>
        <w:tc>
          <w:tcPr>
            <w:tcW w:type="dxa" w:w="4320"/>
          </w:tcPr>
          <w:p>
            <w:r>
              <w:t>Allows management to acknowledge medication records.</w:t>
            </w:r>
          </w:p>
        </w:tc>
      </w:tr>
      <w:tr>
        <w:tc>
          <w:tcPr>
            <w:tcW w:type="dxa" w:w="4320"/>
          </w:tcPr>
          <w:p>
            <w:r>
              <w:t>Management Notes</w:t>
            </w:r>
          </w:p>
        </w:tc>
        <w:tc>
          <w:tcPr>
            <w:tcW w:type="dxa" w:w="4320"/>
          </w:tcPr>
          <w:p>
            <w:r>
              <w:t>Stores management-only comments.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Future integration for reminders and alerts.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Displays medication summaries and outstanding items.</w:t>
            </w:r>
          </w:p>
        </w:tc>
      </w:tr>
    </w:tbl>
    <w:p>
      <w:pPr>
        <w:pStyle w:val="Heading2"/>
      </w:pPr>
      <w:r>
        <w:t>9.4 Future Integrations</w:t>
      </w:r>
    </w:p>
    <w:p>
      <w:pPr>
        <w:pStyle w:val="ListBullet"/>
      </w:pPr>
      <w:r>
        <w:t>Scheduling module.</w:t>
      </w:r>
    </w:p>
    <w:p>
      <w:pPr>
        <w:pStyle w:val="ListBullet"/>
      </w:pPr>
      <w:r>
        <w:t>Health Snapshot module.</w:t>
      </w:r>
    </w:p>
    <w:p>
      <w:pPr>
        <w:pStyle w:val="ListBullet"/>
      </w:pPr>
      <w:r>
        <w:t>Incident Management.</w:t>
      </w:r>
    </w:p>
    <w:p>
      <w:pPr>
        <w:pStyle w:val="ListBullet"/>
      </w:pPr>
      <w:r>
        <w:t>Behaviour module.</w:t>
      </w:r>
    </w:p>
    <w:p>
      <w:pPr>
        <w:pStyle w:val="ListBullet"/>
      </w:pPr>
      <w:r>
        <w:t>External pharmacy systems.</w:t>
      </w:r>
    </w:p>
    <w:p>
      <w:pPr>
        <w:pStyle w:val="Heading2"/>
      </w:pPr>
      <w:r>
        <w:t>9.5 Approved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Medication consumes shared NHPSG frameworks.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Framework ownership remains centralized.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Future modules integrate using the same architecture.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Platform consistency takes precedence over module-specific implementations.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