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308" w:type="dxa"/>
        <w:jc w:val="center"/>
        <w:tblLook w:val="01E0" w:firstRow="1" w:lastRow="1" w:firstColumn="1" w:lastColumn="1" w:noHBand="0" w:noVBand="0"/>
      </w:tblPr>
      <w:tblGrid>
        <w:gridCol w:w="108"/>
        <w:gridCol w:w="721"/>
        <w:gridCol w:w="2942"/>
        <w:gridCol w:w="92"/>
        <w:gridCol w:w="2978"/>
        <w:gridCol w:w="467"/>
      </w:tblGrid>
      <w:tr w:rsidR="006B2E4E" w:rsidRPr="00187FCD" w:rsidTr="00187FCD">
        <w:trPr>
          <w:gridBefore w:val="1"/>
          <w:gridAfter w:val="1"/>
          <w:wBefore w:w="108" w:type="dxa"/>
          <w:wAfter w:w="467" w:type="dxa"/>
          <w:jc w:val="center"/>
        </w:trPr>
        <w:tc>
          <w:tcPr>
            <w:tcW w:w="67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2E4E" w:rsidRPr="00087EB3" w:rsidRDefault="006B2E4E" w:rsidP="00A524C4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87EB3">
              <w:rPr>
                <w:b/>
                <w:sz w:val="20"/>
                <w:szCs w:val="20"/>
                <w:lang w:val="uk-UA"/>
              </w:rPr>
              <w:t xml:space="preserve">Державний вищий навчальний заклад </w:t>
            </w:r>
          </w:p>
          <w:p w:rsidR="006B2E4E" w:rsidRPr="00087EB3" w:rsidRDefault="006B2E4E" w:rsidP="00A524C4">
            <w:pPr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087EB3">
              <w:rPr>
                <w:b/>
                <w:sz w:val="20"/>
                <w:szCs w:val="20"/>
                <w:lang w:val="uk-UA"/>
              </w:rPr>
              <w:t>«Український державний хіміко-технологічний університет»</w:t>
            </w:r>
          </w:p>
        </w:tc>
      </w:tr>
      <w:tr w:rsidR="006B2E4E" w:rsidRPr="00187FCD" w:rsidTr="00187FCD">
        <w:trPr>
          <w:gridBefore w:val="1"/>
          <w:gridAfter w:val="1"/>
          <w:wBefore w:w="108" w:type="dxa"/>
          <w:wAfter w:w="467" w:type="dxa"/>
          <w:jc w:val="center"/>
        </w:trPr>
        <w:tc>
          <w:tcPr>
            <w:tcW w:w="67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2E4E" w:rsidRPr="00087EB3" w:rsidRDefault="006B2E4E" w:rsidP="00A524C4">
            <w:pPr>
              <w:pStyle w:val="Header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6B2E4E" w:rsidRPr="00187FCD" w:rsidTr="00187FCD">
        <w:trPr>
          <w:gridBefore w:val="1"/>
          <w:gridAfter w:val="1"/>
          <w:wBefore w:w="108" w:type="dxa"/>
          <w:wAfter w:w="467" w:type="dxa"/>
          <w:jc w:val="center"/>
        </w:trPr>
        <w:tc>
          <w:tcPr>
            <w:tcW w:w="36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2E4E" w:rsidRPr="00087EB3" w:rsidRDefault="006B2E4E" w:rsidP="00A524C4">
            <w:pPr>
              <w:pStyle w:val="Header"/>
              <w:rPr>
                <w:sz w:val="20"/>
                <w:szCs w:val="20"/>
                <w:lang w:val="uk-UA"/>
              </w:rPr>
            </w:pPr>
            <w:r w:rsidRPr="00087EB3">
              <w:rPr>
                <w:sz w:val="20"/>
                <w:szCs w:val="20"/>
                <w:lang w:val="uk-UA"/>
              </w:rPr>
              <w:t>Освітньо-кваліфікаційний рівень</w:t>
            </w:r>
          </w:p>
        </w:tc>
        <w:tc>
          <w:tcPr>
            <w:tcW w:w="30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E4E" w:rsidRDefault="006B2E4E" w:rsidP="00A524C4">
            <w:pPr>
              <w:pStyle w:val="Header"/>
              <w:rPr>
                <w:sz w:val="20"/>
                <w:szCs w:val="20"/>
                <w:lang w:val="ru-RU"/>
              </w:rPr>
            </w:pPr>
            <w:r w:rsidRPr="00087EB3">
              <w:rPr>
                <w:sz w:val="20"/>
                <w:szCs w:val="20"/>
                <w:lang w:val="ru-RU"/>
              </w:rPr>
              <w:t>Бакалавр</w:t>
            </w:r>
          </w:p>
          <w:p w:rsidR="006B2E4E" w:rsidRPr="00087EB3" w:rsidRDefault="006B2E4E" w:rsidP="00A524C4">
            <w:pPr>
              <w:pStyle w:val="Head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Бакалавр (на </w:t>
            </w:r>
            <w:proofErr w:type="spellStart"/>
            <w:r>
              <w:rPr>
                <w:sz w:val="20"/>
                <w:szCs w:val="20"/>
                <w:lang w:val="ru-RU"/>
              </w:rPr>
              <w:t>основі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ОПП </w:t>
            </w:r>
            <w:proofErr w:type="spellStart"/>
            <w:r>
              <w:rPr>
                <w:sz w:val="20"/>
                <w:szCs w:val="20"/>
                <w:lang w:val="ru-RU"/>
              </w:rPr>
              <w:t>молодшого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спеціаліста</w:t>
            </w:r>
            <w:proofErr w:type="spellEnd"/>
            <w:r>
              <w:rPr>
                <w:sz w:val="20"/>
                <w:szCs w:val="20"/>
                <w:lang w:val="ru-RU"/>
              </w:rPr>
              <w:t>)</w:t>
            </w:r>
          </w:p>
        </w:tc>
      </w:tr>
      <w:tr w:rsidR="006B2E4E" w:rsidRPr="00992A2A" w:rsidTr="00187FCD">
        <w:trPr>
          <w:gridBefore w:val="1"/>
          <w:gridAfter w:val="1"/>
          <w:wBefore w:w="108" w:type="dxa"/>
          <w:wAfter w:w="467" w:type="dxa"/>
          <w:jc w:val="center"/>
        </w:trPr>
        <w:tc>
          <w:tcPr>
            <w:tcW w:w="36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2E4E" w:rsidRPr="00087EB3" w:rsidRDefault="006B2E4E" w:rsidP="00A524C4">
            <w:pPr>
              <w:pStyle w:val="Header"/>
              <w:rPr>
                <w:sz w:val="20"/>
                <w:szCs w:val="20"/>
                <w:lang w:val="ru-RU"/>
              </w:rPr>
            </w:pPr>
            <w:proofErr w:type="spellStart"/>
            <w:r w:rsidRPr="00087EB3">
              <w:rPr>
                <w:sz w:val="20"/>
                <w:szCs w:val="20"/>
                <w:lang w:val="ru-RU"/>
              </w:rPr>
              <w:t>Спеціальність</w:t>
            </w:r>
            <w:proofErr w:type="spellEnd"/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E4E" w:rsidRPr="00087EB3" w:rsidRDefault="006B2E4E" w:rsidP="00A524C4">
            <w:pPr>
              <w:pStyle w:val="Header"/>
              <w:rPr>
                <w:sz w:val="20"/>
                <w:szCs w:val="20"/>
                <w:lang w:val="ru-RU"/>
              </w:rPr>
            </w:pPr>
            <w:r w:rsidRPr="00087EB3">
              <w:rPr>
                <w:sz w:val="20"/>
                <w:szCs w:val="20"/>
                <w:lang w:val="ru-RU"/>
              </w:rPr>
              <w:t>1</w:t>
            </w:r>
            <w:r>
              <w:rPr>
                <w:sz w:val="20"/>
                <w:szCs w:val="20"/>
                <w:lang w:val="ru-RU"/>
              </w:rPr>
              <w:t>22</w:t>
            </w:r>
            <w:r w:rsidRPr="00087EB3">
              <w:rPr>
                <w:sz w:val="20"/>
                <w:szCs w:val="20"/>
                <w:lang w:val="ru-RU"/>
              </w:rPr>
              <w:t xml:space="preserve"> – Комп</w:t>
            </w:r>
            <w:r w:rsidRPr="00087EB3">
              <w:rPr>
                <w:sz w:val="20"/>
                <w:szCs w:val="20"/>
              </w:rPr>
              <w:t>’</w:t>
            </w:r>
            <w:proofErr w:type="spellStart"/>
            <w:r>
              <w:rPr>
                <w:sz w:val="20"/>
                <w:szCs w:val="20"/>
                <w:lang w:val="ru-RU"/>
              </w:rPr>
              <w:t>ютерні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науки,</w:t>
            </w:r>
          </w:p>
        </w:tc>
      </w:tr>
      <w:tr w:rsidR="006B2E4E" w:rsidRPr="00992A2A" w:rsidTr="00187FCD">
        <w:trPr>
          <w:gridBefore w:val="1"/>
          <w:gridAfter w:val="1"/>
          <w:wBefore w:w="108" w:type="dxa"/>
          <w:wAfter w:w="467" w:type="dxa"/>
          <w:jc w:val="center"/>
        </w:trPr>
        <w:tc>
          <w:tcPr>
            <w:tcW w:w="36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2E4E" w:rsidRPr="00087EB3" w:rsidRDefault="006B2E4E" w:rsidP="00A524C4">
            <w:pPr>
              <w:pStyle w:val="Header"/>
              <w:rPr>
                <w:sz w:val="20"/>
                <w:szCs w:val="20"/>
                <w:lang w:val="ru-RU"/>
              </w:rPr>
            </w:pPr>
            <w:r w:rsidRPr="00087EB3">
              <w:rPr>
                <w:sz w:val="20"/>
                <w:szCs w:val="20"/>
                <w:lang w:val="ru-RU"/>
              </w:rPr>
              <w:t>Семестр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E4E" w:rsidRDefault="006B2E4E" w:rsidP="00A524C4">
            <w:pPr>
              <w:pStyle w:val="Header"/>
              <w:rPr>
                <w:sz w:val="20"/>
                <w:szCs w:val="20"/>
                <w:lang w:val="ru-RU"/>
              </w:rPr>
            </w:pPr>
            <w:r w:rsidRPr="00087EB3">
              <w:rPr>
                <w:sz w:val="20"/>
                <w:szCs w:val="20"/>
                <w:lang w:val="ru-RU"/>
              </w:rPr>
              <w:t>6 семестр, 1</w:t>
            </w:r>
            <w:r>
              <w:rPr>
                <w:sz w:val="20"/>
                <w:szCs w:val="20"/>
                <w:lang w:val="ru-RU"/>
              </w:rPr>
              <w:t>1</w:t>
            </w:r>
            <w:r w:rsidRPr="00087EB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87EB3">
              <w:rPr>
                <w:sz w:val="20"/>
                <w:szCs w:val="20"/>
                <w:lang w:val="ru-RU"/>
              </w:rPr>
              <w:t>тетраместр</w:t>
            </w:r>
            <w:proofErr w:type="spellEnd"/>
          </w:p>
          <w:p w:rsidR="006B2E4E" w:rsidRPr="00087EB3" w:rsidRDefault="006B2E4E" w:rsidP="00A524C4">
            <w:pPr>
              <w:pStyle w:val="Head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 семестр, 3</w:t>
            </w:r>
            <w:r w:rsidRPr="00087EB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87EB3">
              <w:rPr>
                <w:sz w:val="20"/>
                <w:szCs w:val="20"/>
                <w:lang w:val="ru-RU"/>
              </w:rPr>
              <w:t>тетраместр</w:t>
            </w:r>
            <w:proofErr w:type="spellEnd"/>
          </w:p>
        </w:tc>
      </w:tr>
      <w:tr w:rsidR="006B2E4E" w:rsidRPr="00992A2A" w:rsidTr="00187FCD">
        <w:trPr>
          <w:gridBefore w:val="1"/>
          <w:gridAfter w:val="1"/>
          <w:wBefore w:w="108" w:type="dxa"/>
          <w:wAfter w:w="467" w:type="dxa"/>
          <w:jc w:val="center"/>
        </w:trPr>
        <w:tc>
          <w:tcPr>
            <w:tcW w:w="36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2E4E" w:rsidRPr="00087EB3" w:rsidRDefault="006B2E4E" w:rsidP="00A524C4">
            <w:pPr>
              <w:pStyle w:val="Header"/>
              <w:rPr>
                <w:sz w:val="20"/>
                <w:szCs w:val="20"/>
                <w:lang w:val="ru-RU"/>
              </w:rPr>
            </w:pPr>
            <w:proofErr w:type="spellStart"/>
            <w:r w:rsidRPr="00087EB3">
              <w:rPr>
                <w:sz w:val="20"/>
                <w:szCs w:val="20"/>
                <w:lang w:val="ru-RU"/>
              </w:rPr>
              <w:t>Навчальна</w:t>
            </w:r>
            <w:proofErr w:type="spellEnd"/>
            <w:r w:rsidRPr="00087EB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87EB3">
              <w:rPr>
                <w:sz w:val="20"/>
                <w:szCs w:val="20"/>
                <w:lang w:val="ru-RU"/>
              </w:rPr>
              <w:t>дисципліна</w:t>
            </w:r>
            <w:proofErr w:type="spellEnd"/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E4E" w:rsidRPr="00087EB3" w:rsidRDefault="006B2E4E" w:rsidP="00A524C4">
            <w:pPr>
              <w:pStyle w:val="Header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087EB3">
              <w:rPr>
                <w:b/>
                <w:sz w:val="20"/>
                <w:szCs w:val="20"/>
                <w:lang w:val="ru-RU"/>
              </w:rPr>
              <w:t>Моделювання</w:t>
            </w:r>
            <w:proofErr w:type="spellEnd"/>
            <w:r w:rsidRPr="00087EB3">
              <w:rPr>
                <w:b/>
                <w:sz w:val="20"/>
                <w:szCs w:val="20"/>
                <w:lang w:val="ru-RU"/>
              </w:rPr>
              <w:t xml:space="preserve"> систем</w:t>
            </w:r>
          </w:p>
        </w:tc>
      </w:tr>
      <w:tr w:rsidR="006B2E4E" w:rsidRPr="00992A2A" w:rsidTr="00187FCD">
        <w:trPr>
          <w:gridBefore w:val="1"/>
          <w:gridAfter w:val="1"/>
          <w:wBefore w:w="108" w:type="dxa"/>
          <w:wAfter w:w="467" w:type="dxa"/>
          <w:jc w:val="center"/>
        </w:trPr>
        <w:tc>
          <w:tcPr>
            <w:tcW w:w="67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2E4E" w:rsidRPr="00087EB3" w:rsidRDefault="006B2E4E" w:rsidP="00A524C4">
            <w:pPr>
              <w:pStyle w:val="Header"/>
              <w:jc w:val="center"/>
              <w:rPr>
                <w:b/>
                <w:sz w:val="20"/>
                <w:szCs w:val="20"/>
                <w:lang w:val="uk-UA"/>
              </w:rPr>
            </w:pPr>
          </w:p>
          <w:p w:rsidR="006B2E4E" w:rsidRDefault="006B2E4E" w:rsidP="00A524C4">
            <w:pPr>
              <w:pStyle w:val="Header"/>
              <w:jc w:val="center"/>
              <w:rPr>
                <w:b/>
                <w:sz w:val="20"/>
                <w:szCs w:val="20"/>
              </w:rPr>
            </w:pPr>
            <w:r w:rsidRPr="00891C1E">
              <w:rPr>
                <w:b/>
                <w:caps/>
                <w:sz w:val="20"/>
                <w:szCs w:val="20"/>
                <w:lang w:val="uk-UA"/>
              </w:rPr>
              <w:t>Модульний контроль</w:t>
            </w:r>
            <w:r w:rsidRPr="00087EB3">
              <w:rPr>
                <w:b/>
                <w:sz w:val="20"/>
                <w:szCs w:val="20"/>
                <w:lang w:val="uk-UA"/>
              </w:rPr>
              <w:br/>
              <w:t>БІЛЕТ №</w:t>
            </w:r>
            <w:r w:rsidR="00362258">
              <w:rPr>
                <w:b/>
                <w:sz w:val="20"/>
                <w:szCs w:val="20"/>
                <w:lang w:val="uk-UA"/>
              </w:rPr>
              <w:t xml:space="preserve"> 1</w:t>
            </w:r>
          </w:p>
          <w:p w:rsidR="006B2E4E" w:rsidRPr="00087EB3" w:rsidRDefault="006B2E4E" w:rsidP="00A524C4">
            <w:pPr>
              <w:pStyle w:val="Header"/>
              <w:jc w:val="center"/>
              <w:rPr>
                <w:sz w:val="20"/>
                <w:szCs w:val="20"/>
              </w:rPr>
            </w:pPr>
          </w:p>
        </w:tc>
      </w:tr>
      <w:tr w:rsidR="00187FCD" w:rsidRPr="002766D0" w:rsidTr="00187FCD">
        <w:tblPrEx>
          <w:jc w:val="left"/>
        </w:tblPrEx>
        <w:tc>
          <w:tcPr>
            <w:tcW w:w="829" w:type="dxa"/>
            <w:gridSpan w:val="2"/>
          </w:tcPr>
          <w:p w:rsidR="00187FCD" w:rsidRPr="002766D0" w:rsidRDefault="00187FCD" w:rsidP="00A524C4">
            <w:pPr>
              <w:numPr>
                <w:ilvl w:val="0"/>
                <w:numId w:val="1"/>
              </w:numPr>
              <w:ind w:left="0" w:firstLine="0"/>
              <w:rPr>
                <w:lang w:val="uk-UA"/>
              </w:rPr>
            </w:pPr>
          </w:p>
        </w:tc>
        <w:tc>
          <w:tcPr>
            <w:tcW w:w="6479" w:type="dxa"/>
            <w:gridSpan w:val="4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Об’єктами моделювання у техніці є:</w:t>
            </w:r>
          </w:p>
        </w:tc>
      </w:tr>
      <w:tr w:rsidR="00187FCD" w:rsidRPr="002766D0" w:rsidTr="00187FCD">
        <w:tblPrEx>
          <w:jc w:val="left"/>
        </w:tblPrEx>
        <w:tc>
          <w:tcPr>
            <w:tcW w:w="3863" w:type="dxa"/>
            <w:gridSpan w:val="4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А. системи</w:t>
            </w:r>
          </w:p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 xml:space="preserve">В. </w:t>
            </w:r>
            <w:proofErr w:type="spellStart"/>
            <w:r w:rsidRPr="002766D0">
              <w:rPr>
                <w:lang w:val="uk-UA"/>
              </w:rPr>
              <w:t>протікаючі</w:t>
            </w:r>
            <w:proofErr w:type="spellEnd"/>
            <w:r w:rsidRPr="002766D0">
              <w:rPr>
                <w:lang w:val="uk-UA"/>
              </w:rPr>
              <w:t xml:space="preserve"> в них процеси</w:t>
            </w:r>
          </w:p>
        </w:tc>
        <w:tc>
          <w:tcPr>
            <w:tcW w:w="3445" w:type="dxa"/>
            <w:gridSpan w:val="2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 xml:space="preserve">С. </w:t>
            </w:r>
            <w:r w:rsidRPr="00551E0F">
              <w:rPr>
                <w:highlight w:val="green"/>
                <w:lang w:val="uk-UA"/>
              </w:rPr>
              <w:t xml:space="preserve">системи та </w:t>
            </w:r>
            <w:proofErr w:type="spellStart"/>
            <w:r w:rsidRPr="00551E0F">
              <w:rPr>
                <w:highlight w:val="green"/>
                <w:lang w:val="uk-UA"/>
              </w:rPr>
              <w:t>протікаючі</w:t>
            </w:r>
            <w:proofErr w:type="spellEnd"/>
            <w:r w:rsidRPr="00551E0F">
              <w:rPr>
                <w:highlight w:val="green"/>
                <w:lang w:val="uk-UA"/>
              </w:rPr>
              <w:t xml:space="preserve"> в них процеси</w:t>
            </w:r>
          </w:p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D. обчислювальні машини комплекси мережі</w:t>
            </w:r>
          </w:p>
        </w:tc>
      </w:tr>
      <w:tr w:rsidR="00187FCD" w:rsidRPr="002766D0" w:rsidTr="00187FCD">
        <w:tblPrEx>
          <w:jc w:val="left"/>
        </w:tblPrEx>
        <w:tc>
          <w:tcPr>
            <w:tcW w:w="829" w:type="dxa"/>
            <w:gridSpan w:val="2"/>
          </w:tcPr>
          <w:p w:rsidR="00187FCD" w:rsidRPr="002766D0" w:rsidRDefault="00187FCD" w:rsidP="00A524C4">
            <w:pPr>
              <w:rPr>
                <w:lang w:val="uk-UA"/>
              </w:rPr>
            </w:pPr>
            <w:r w:rsidRPr="002766D0">
              <w:rPr>
                <w:lang w:val="uk-UA"/>
              </w:rPr>
              <w:t>2.</w:t>
            </w:r>
          </w:p>
        </w:tc>
        <w:tc>
          <w:tcPr>
            <w:tcW w:w="6479" w:type="dxa"/>
            <w:gridSpan w:val="4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У класифікації видів моделювання систем знайти відповідність:</w:t>
            </w:r>
          </w:p>
        </w:tc>
      </w:tr>
      <w:tr w:rsidR="00187FCD" w:rsidRPr="002766D0" w:rsidTr="00187FCD">
        <w:tblPrEx>
          <w:jc w:val="left"/>
        </w:tblPrEx>
        <w:tc>
          <w:tcPr>
            <w:tcW w:w="3863" w:type="dxa"/>
            <w:gridSpan w:val="4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551E0F">
              <w:rPr>
                <w:highlight w:val="green"/>
                <w:lang w:val="uk-UA"/>
              </w:rPr>
              <w:t>А. детерміновані, стохастичні</w:t>
            </w:r>
          </w:p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В. детерміновані, динамічні</w:t>
            </w:r>
          </w:p>
        </w:tc>
        <w:tc>
          <w:tcPr>
            <w:tcW w:w="3445" w:type="dxa"/>
            <w:gridSpan w:val="2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С. стохастичні, ймовірнісні</w:t>
            </w:r>
          </w:p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D. дискретні, реальні</w:t>
            </w:r>
          </w:p>
        </w:tc>
      </w:tr>
      <w:tr w:rsidR="00187FCD" w:rsidRPr="002766D0" w:rsidTr="00187FCD">
        <w:tblPrEx>
          <w:jc w:val="left"/>
        </w:tblPrEx>
        <w:tc>
          <w:tcPr>
            <w:tcW w:w="829" w:type="dxa"/>
            <w:gridSpan w:val="2"/>
          </w:tcPr>
          <w:p w:rsidR="00187FCD" w:rsidRPr="002766D0" w:rsidRDefault="00187FCD" w:rsidP="00A524C4">
            <w:pPr>
              <w:rPr>
                <w:lang w:val="uk-UA"/>
              </w:rPr>
            </w:pPr>
            <w:r w:rsidRPr="002766D0">
              <w:rPr>
                <w:lang w:val="uk-UA"/>
              </w:rPr>
              <w:t>3.</w:t>
            </w:r>
          </w:p>
        </w:tc>
        <w:tc>
          <w:tcPr>
            <w:tcW w:w="6479" w:type="dxa"/>
            <w:gridSpan w:val="4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SISO-система це система:</w:t>
            </w:r>
          </w:p>
        </w:tc>
      </w:tr>
      <w:tr w:rsidR="00187FCD" w:rsidRPr="002766D0" w:rsidTr="00187FCD">
        <w:tblPrEx>
          <w:jc w:val="left"/>
        </w:tblPrEx>
        <w:tc>
          <w:tcPr>
            <w:tcW w:w="3863" w:type="dxa"/>
            <w:gridSpan w:val="4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А. з одним входом та з декількома виходами</w:t>
            </w:r>
          </w:p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 xml:space="preserve">В. </w:t>
            </w:r>
            <w:r w:rsidRPr="00551E0F">
              <w:rPr>
                <w:highlight w:val="green"/>
                <w:lang w:val="uk-UA"/>
              </w:rPr>
              <w:t>з одним входом та з одним виходом</w:t>
            </w:r>
          </w:p>
        </w:tc>
        <w:tc>
          <w:tcPr>
            <w:tcW w:w="3445" w:type="dxa"/>
            <w:gridSpan w:val="2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С. з декількома входами та з одним виходом</w:t>
            </w:r>
          </w:p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D. з декількома входами та з декількома виходами</w:t>
            </w:r>
          </w:p>
        </w:tc>
      </w:tr>
      <w:tr w:rsidR="00187FCD" w:rsidRPr="002766D0" w:rsidTr="00187FCD">
        <w:tblPrEx>
          <w:jc w:val="left"/>
        </w:tblPrEx>
        <w:tc>
          <w:tcPr>
            <w:tcW w:w="829" w:type="dxa"/>
            <w:gridSpan w:val="2"/>
          </w:tcPr>
          <w:p w:rsidR="00187FCD" w:rsidRPr="002766D0" w:rsidRDefault="00187FCD" w:rsidP="00A524C4">
            <w:pPr>
              <w:rPr>
                <w:lang w:val="uk-UA"/>
              </w:rPr>
            </w:pPr>
            <w:r w:rsidRPr="002766D0">
              <w:rPr>
                <w:lang w:val="uk-UA"/>
              </w:rPr>
              <w:t>4.</w:t>
            </w:r>
          </w:p>
        </w:tc>
        <w:tc>
          <w:tcPr>
            <w:tcW w:w="6479" w:type="dxa"/>
            <w:gridSpan w:val="4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Множина значень зовнішніх та внутрішніх параметрів моделі, що впливають на результати експериментів та значення яких може контролювати дослідник називається:</w:t>
            </w:r>
          </w:p>
        </w:tc>
      </w:tr>
      <w:tr w:rsidR="00187FCD" w:rsidRPr="002766D0" w:rsidTr="00187FCD">
        <w:tblPrEx>
          <w:jc w:val="left"/>
        </w:tblPrEx>
        <w:tc>
          <w:tcPr>
            <w:tcW w:w="3863" w:type="dxa"/>
            <w:gridSpan w:val="4"/>
          </w:tcPr>
          <w:p w:rsidR="00187FCD" w:rsidRPr="00C02854" w:rsidRDefault="00187FCD" w:rsidP="00A524C4">
            <w:pPr>
              <w:jc w:val="both"/>
              <w:rPr>
                <w:lang w:val="uk-UA"/>
              </w:rPr>
            </w:pPr>
            <w:r w:rsidRPr="00C02854">
              <w:rPr>
                <w:lang w:val="uk-UA"/>
              </w:rPr>
              <w:t>А. вхідними параметрами</w:t>
            </w:r>
          </w:p>
          <w:p w:rsidR="00187FCD" w:rsidRPr="00C02854" w:rsidRDefault="00187FCD" w:rsidP="00A524C4">
            <w:pPr>
              <w:jc w:val="both"/>
              <w:rPr>
                <w:highlight w:val="green"/>
                <w:lang w:val="ru-RU"/>
              </w:rPr>
            </w:pPr>
            <w:r w:rsidRPr="00551E0F">
              <w:rPr>
                <w:highlight w:val="green"/>
                <w:lang w:val="uk-UA"/>
              </w:rPr>
              <w:t>В. факторним простором</w:t>
            </w:r>
          </w:p>
        </w:tc>
        <w:tc>
          <w:tcPr>
            <w:tcW w:w="3445" w:type="dxa"/>
            <w:gridSpan w:val="2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С. простором керуючих параметрів</w:t>
            </w:r>
          </w:p>
          <w:p w:rsidR="00187FCD" w:rsidRPr="002766D0" w:rsidRDefault="00187FCD" w:rsidP="00A524C4">
            <w:pPr>
              <w:rPr>
                <w:lang w:val="uk-UA"/>
              </w:rPr>
            </w:pPr>
            <w:r w:rsidRPr="002766D0">
              <w:rPr>
                <w:lang w:val="uk-UA"/>
              </w:rPr>
              <w:t xml:space="preserve">D. простором </w:t>
            </w:r>
            <w:proofErr w:type="spellStart"/>
            <w:r w:rsidRPr="002766D0">
              <w:rPr>
                <w:lang w:val="uk-UA"/>
              </w:rPr>
              <w:t>збурюючих</w:t>
            </w:r>
            <w:proofErr w:type="spellEnd"/>
            <w:r w:rsidRPr="002766D0">
              <w:rPr>
                <w:lang w:val="uk-UA"/>
              </w:rPr>
              <w:t xml:space="preserve"> параметрів</w:t>
            </w:r>
          </w:p>
        </w:tc>
      </w:tr>
      <w:tr w:rsidR="00187FCD" w:rsidRPr="002766D0" w:rsidTr="00187FCD">
        <w:tblPrEx>
          <w:jc w:val="left"/>
        </w:tblPrEx>
        <w:tc>
          <w:tcPr>
            <w:tcW w:w="829" w:type="dxa"/>
            <w:gridSpan w:val="2"/>
          </w:tcPr>
          <w:p w:rsidR="00187FCD" w:rsidRPr="002766D0" w:rsidRDefault="00187FCD" w:rsidP="00A524C4">
            <w:pPr>
              <w:rPr>
                <w:lang w:val="uk-UA"/>
              </w:rPr>
            </w:pPr>
            <w:r w:rsidRPr="002766D0">
              <w:rPr>
                <w:lang w:val="uk-UA"/>
              </w:rPr>
              <w:t>5.</w:t>
            </w:r>
          </w:p>
        </w:tc>
        <w:tc>
          <w:tcPr>
            <w:tcW w:w="6479" w:type="dxa"/>
            <w:gridSpan w:val="4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Прийняття рішень у повному факторному експерименті при незначущості коефіцієнтів регресійної моделі:</w:t>
            </w:r>
          </w:p>
        </w:tc>
      </w:tr>
      <w:tr w:rsidR="00187FCD" w:rsidRPr="002766D0" w:rsidTr="00187FCD">
        <w:tblPrEx>
          <w:jc w:val="left"/>
        </w:tblPrEx>
        <w:tc>
          <w:tcPr>
            <w:tcW w:w="3863" w:type="dxa"/>
            <w:gridSpan w:val="4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А. фактор визнається незначущим</w:t>
            </w:r>
          </w:p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В. фактор визнається незначущим та виключається з моделі</w:t>
            </w:r>
          </w:p>
        </w:tc>
        <w:tc>
          <w:tcPr>
            <w:tcW w:w="3445" w:type="dxa"/>
            <w:gridSpan w:val="2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 xml:space="preserve">С. </w:t>
            </w:r>
            <w:r w:rsidRPr="00551E0F">
              <w:rPr>
                <w:highlight w:val="green"/>
                <w:lang w:val="uk-UA"/>
              </w:rPr>
              <w:t xml:space="preserve">фактор визнається незначущим та виключається з моделі, але можна спробувати </w:t>
            </w:r>
            <w:r w:rsidRPr="00551E0F">
              <w:rPr>
                <w:highlight w:val="green"/>
                <w:lang w:val="uk-UA"/>
              </w:rPr>
              <w:lastRenderedPageBreak/>
              <w:t>розширити інтервали варіювання</w:t>
            </w:r>
          </w:p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D. фактор визнається незначущим та виключається з моделі, але можна спробувати звузити інтервали варіювання</w:t>
            </w:r>
          </w:p>
        </w:tc>
      </w:tr>
      <w:tr w:rsidR="00187FCD" w:rsidRPr="002766D0" w:rsidTr="00187FCD">
        <w:tblPrEx>
          <w:jc w:val="left"/>
        </w:tblPrEx>
        <w:tc>
          <w:tcPr>
            <w:tcW w:w="829" w:type="dxa"/>
            <w:gridSpan w:val="2"/>
          </w:tcPr>
          <w:p w:rsidR="00187FCD" w:rsidRPr="002766D0" w:rsidRDefault="00187FCD" w:rsidP="00A524C4">
            <w:pPr>
              <w:rPr>
                <w:lang w:val="uk-UA"/>
              </w:rPr>
            </w:pPr>
            <w:r w:rsidRPr="002766D0">
              <w:rPr>
                <w:lang w:val="uk-UA"/>
              </w:rPr>
              <w:t>6.</w:t>
            </w:r>
          </w:p>
        </w:tc>
        <w:tc>
          <w:tcPr>
            <w:tcW w:w="6479" w:type="dxa"/>
            <w:gridSpan w:val="4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>Коефіцієнти рівняння  регресії (лінійна форма) обчислюють за формулою:</w:t>
            </w:r>
          </w:p>
        </w:tc>
      </w:tr>
      <w:tr w:rsidR="00187FCD" w:rsidRPr="002766D0" w:rsidTr="00187FCD">
        <w:tblPrEx>
          <w:jc w:val="left"/>
        </w:tblPrEx>
        <w:tc>
          <w:tcPr>
            <w:tcW w:w="3863" w:type="dxa"/>
            <w:gridSpan w:val="4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 xml:space="preserve">A. </w:t>
            </w:r>
            <w:r w:rsidRPr="002766D0">
              <w:rPr>
                <w:position w:val="-28"/>
                <w:lang w:val="uk-UA"/>
              </w:rPr>
              <w:object w:dxaOrig="35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7" type="#_x0000_t75" style="width:162.8pt;height:31.15pt" o:ole="">
                  <v:imagedata r:id="rId5" o:title=""/>
                </v:shape>
                <o:OLEObject Type="Embed" ProgID="Equation.3" ShapeID="_x0000_i1177" DrawAspect="Content" ObjectID="_1646927620" r:id="rId6"/>
              </w:object>
            </w:r>
          </w:p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 xml:space="preserve">В. </w:t>
            </w:r>
            <w:r w:rsidRPr="002766D0">
              <w:rPr>
                <w:position w:val="-28"/>
                <w:lang w:val="uk-UA"/>
              </w:rPr>
              <w:object w:dxaOrig="3340" w:dyaOrig="680">
                <v:shape id="_x0000_i1178" type="#_x0000_t75" style="width:167.1pt;height:33.85pt" o:ole="">
                  <v:imagedata r:id="rId7" o:title=""/>
                </v:shape>
                <o:OLEObject Type="Embed" ProgID="Equation.3" ShapeID="_x0000_i1178" DrawAspect="Content" ObjectID="_1646927621" r:id="rId8"/>
              </w:object>
            </w:r>
          </w:p>
        </w:tc>
        <w:tc>
          <w:tcPr>
            <w:tcW w:w="3445" w:type="dxa"/>
            <w:gridSpan w:val="2"/>
          </w:tcPr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2766D0">
              <w:rPr>
                <w:lang w:val="uk-UA"/>
              </w:rPr>
              <w:t xml:space="preserve">C. </w:t>
            </w:r>
            <w:r w:rsidRPr="002766D0">
              <w:rPr>
                <w:position w:val="-28"/>
                <w:lang w:val="uk-UA"/>
              </w:rPr>
              <w:object w:dxaOrig="3100" w:dyaOrig="680">
                <v:shape id="_x0000_i1179" type="#_x0000_t75" style="width:139.15pt;height:30.1pt" o:ole="">
                  <v:imagedata r:id="rId9" o:title=""/>
                </v:shape>
                <o:OLEObject Type="Embed" ProgID="Equation.3" ShapeID="_x0000_i1179" DrawAspect="Content" ObjectID="_1646927622" r:id="rId10"/>
              </w:object>
            </w:r>
          </w:p>
          <w:p w:rsidR="00187FCD" w:rsidRPr="002766D0" w:rsidRDefault="00187FCD" w:rsidP="00A524C4">
            <w:pPr>
              <w:jc w:val="both"/>
              <w:rPr>
                <w:lang w:val="uk-UA"/>
              </w:rPr>
            </w:pPr>
            <w:r w:rsidRPr="00551E0F">
              <w:rPr>
                <w:highlight w:val="green"/>
                <w:lang w:val="uk-UA"/>
              </w:rPr>
              <w:t>D.</w:t>
            </w:r>
            <w:r w:rsidRPr="00551E0F">
              <w:rPr>
                <w:position w:val="-28"/>
                <w:highlight w:val="green"/>
                <w:lang w:val="uk-UA"/>
              </w:rPr>
              <w:object w:dxaOrig="3440" w:dyaOrig="680">
                <v:shape id="_x0000_i1180" type="#_x0000_t75" style="width:146.7pt;height:29pt" o:ole="">
                  <v:imagedata r:id="rId11" o:title=""/>
                </v:shape>
                <o:OLEObject Type="Embed" ProgID="Equation.3" ShapeID="_x0000_i1180" DrawAspect="Content" ObjectID="_1646927623" r:id="rId12"/>
              </w:object>
            </w:r>
          </w:p>
        </w:tc>
      </w:tr>
    </w:tbl>
    <w:p w:rsidR="006B2E4E" w:rsidRDefault="006B2E4E" w:rsidP="00187FCD">
      <w:pPr>
        <w:jc w:val="both"/>
        <w:rPr>
          <w:lang w:val="uk-UA" w:eastAsia="ru-RU"/>
        </w:rPr>
      </w:pPr>
    </w:p>
    <w:p w:rsidR="00187FCD" w:rsidRPr="00FD6AEE" w:rsidRDefault="00187FCD" w:rsidP="00187FCD">
      <w:pPr>
        <w:jc w:val="both"/>
        <w:rPr>
          <w:lang w:val="uk-UA" w:eastAsia="ru-RU"/>
        </w:rPr>
      </w:pPr>
      <w:r w:rsidRPr="002766D0">
        <w:rPr>
          <w:b/>
          <w:lang w:val="uk-UA"/>
        </w:rPr>
        <w:t>Задача 1</w:t>
      </w:r>
      <w:r w:rsidRPr="00FD6AEE">
        <w:rPr>
          <w:b/>
          <w:lang w:val="uk-UA"/>
        </w:rPr>
        <w:t>.</w:t>
      </w:r>
      <w:r w:rsidRPr="00FD6AEE">
        <w:rPr>
          <w:lang w:val="uk-UA"/>
        </w:rPr>
        <w:t xml:space="preserve"> </w:t>
      </w:r>
      <w:r w:rsidRPr="00FD6AEE">
        <w:rPr>
          <w:lang w:val="uk-UA" w:eastAsia="ru-RU"/>
        </w:rPr>
        <w:t xml:space="preserve">Розіграти чотири можливих значення дискретної випадкової величини </w:t>
      </w:r>
      <w:r w:rsidRPr="00FD6AEE">
        <w:rPr>
          <w:lang w:eastAsia="ru-RU"/>
        </w:rPr>
        <w:t>X</w:t>
      </w:r>
      <w:r w:rsidRPr="00FD6AEE">
        <w:rPr>
          <w:lang w:val="uk-UA" w:eastAsia="ru-RU"/>
        </w:rPr>
        <w:t>, закон розподілу якої задано у вигляді таблиці:</w:t>
      </w:r>
    </w:p>
    <w:p w:rsidR="00187FCD" w:rsidRPr="00FD6AEE" w:rsidRDefault="00187FCD" w:rsidP="00187FCD">
      <w:pPr>
        <w:jc w:val="both"/>
        <w:rPr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1149"/>
        <w:gridCol w:w="1149"/>
        <w:gridCol w:w="1149"/>
        <w:gridCol w:w="1149"/>
        <w:gridCol w:w="1149"/>
      </w:tblGrid>
      <w:tr w:rsidR="00187FCD" w:rsidRPr="00FD6AEE" w:rsidTr="00A524C4">
        <w:tc>
          <w:tcPr>
            <w:tcW w:w="1776" w:type="dxa"/>
          </w:tcPr>
          <w:p w:rsidR="00187FCD" w:rsidRPr="00FD6AEE" w:rsidRDefault="00187FCD" w:rsidP="00A524C4">
            <w:pPr>
              <w:jc w:val="both"/>
              <w:rPr>
                <w:lang w:eastAsia="ru-RU"/>
              </w:rPr>
            </w:pPr>
            <w:r w:rsidRPr="00FD6AEE">
              <w:rPr>
                <w:lang w:eastAsia="ru-RU"/>
              </w:rPr>
              <w:t>X</w:t>
            </w:r>
          </w:p>
        </w:tc>
        <w:tc>
          <w:tcPr>
            <w:tcW w:w="1776" w:type="dxa"/>
          </w:tcPr>
          <w:p w:rsidR="00187FCD" w:rsidRPr="00FD6AEE" w:rsidRDefault="00187FCD" w:rsidP="00A524C4">
            <w:pPr>
              <w:jc w:val="both"/>
              <w:rPr>
                <w:lang w:val="uk-UA" w:eastAsia="ru-RU"/>
              </w:rPr>
            </w:pPr>
            <w:r w:rsidRPr="00FD6AEE">
              <w:rPr>
                <w:lang w:val="uk-UA" w:eastAsia="ru-RU"/>
              </w:rPr>
              <w:t>2</w:t>
            </w:r>
          </w:p>
        </w:tc>
        <w:tc>
          <w:tcPr>
            <w:tcW w:w="1776" w:type="dxa"/>
          </w:tcPr>
          <w:p w:rsidR="00187FCD" w:rsidRPr="00FD6AEE" w:rsidRDefault="00187FCD" w:rsidP="00A524C4">
            <w:pPr>
              <w:jc w:val="both"/>
              <w:rPr>
                <w:lang w:val="uk-UA" w:eastAsia="ru-RU"/>
              </w:rPr>
            </w:pPr>
            <w:r w:rsidRPr="00FD6AEE">
              <w:rPr>
                <w:lang w:val="uk-UA" w:eastAsia="ru-RU"/>
              </w:rPr>
              <w:t>4</w:t>
            </w:r>
          </w:p>
        </w:tc>
        <w:tc>
          <w:tcPr>
            <w:tcW w:w="1776" w:type="dxa"/>
          </w:tcPr>
          <w:p w:rsidR="00187FCD" w:rsidRPr="00FD6AEE" w:rsidRDefault="00187FCD" w:rsidP="00A524C4">
            <w:pPr>
              <w:jc w:val="both"/>
              <w:rPr>
                <w:lang w:val="uk-UA" w:eastAsia="ru-RU"/>
              </w:rPr>
            </w:pPr>
            <w:r w:rsidRPr="00FD6AEE">
              <w:rPr>
                <w:lang w:val="uk-UA" w:eastAsia="ru-RU"/>
              </w:rPr>
              <w:t>6</w:t>
            </w:r>
          </w:p>
        </w:tc>
        <w:tc>
          <w:tcPr>
            <w:tcW w:w="1776" w:type="dxa"/>
          </w:tcPr>
          <w:p w:rsidR="00187FCD" w:rsidRPr="00FD6AEE" w:rsidRDefault="00187FCD" w:rsidP="00A524C4">
            <w:pPr>
              <w:jc w:val="both"/>
              <w:rPr>
                <w:lang w:val="uk-UA" w:eastAsia="ru-RU"/>
              </w:rPr>
            </w:pPr>
            <w:r w:rsidRPr="00FD6AEE">
              <w:rPr>
                <w:lang w:val="uk-UA" w:eastAsia="ru-RU"/>
              </w:rPr>
              <w:t>15</w:t>
            </w:r>
          </w:p>
        </w:tc>
        <w:tc>
          <w:tcPr>
            <w:tcW w:w="1776" w:type="dxa"/>
          </w:tcPr>
          <w:p w:rsidR="00187FCD" w:rsidRPr="00FD6AEE" w:rsidRDefault="00187FCD" w:rsidP="00A524C4">
            <w:pPr>
              <w:jc w:val="both"/>
              <w:rPr>
                <w:lang w:val="uk-UA" w:eastAsia="ru-RU"/>
              </w:rPr>
            </w:pPr>
            <w:r w:rsidRPr="00FD6AEE">
              <w:rPr>
                <w:lang w:val="uk-UA" w:eastAsia="ru-RU"/>
              </w:rPr>
              <w:t>18</w:t>
            </w:r>
          </w:p>
        </w:tc>
      </w:tr>
      <w:tr w:rsidR="00187FCD" w:rsidRPr="00FD6AEE" w:rsidTr="00A524C4">
        <w:tc>
          <w:tcPr>
            <w:tcW w:w="1776" w:type="dxa"/>
          </w:tcPr>
          <w:p w:rsidR="00187FCD" w:rsidRPr="00FD6AEE" w:rsidRDefault="00187FCD" w:rsidP="00A524C4">
            <w:pPr>
              <w:jc w:val="both"/>
              <w:rPr>
                <w:lang w:eastAsia="ru-RU"/>
              </w:rPr>
            </w:pPr>
            <w:r w:rsidRPr="00FD6AEE">
              <w:rPr>
                <w:lang w:eastAsia="ru-RU"/>
              </w:rPr>
              <w:t>p</w:t>
            </w:r>
          </w:p>
        </w:tc>
        <w:tc>
          <w:tcPr>
            <w:tcW w:w="1776" w:type="dxa"/>
          </w:tcPr>
          <w:p w:rsidR="00187FCD" w:rsidRPr="00FD6AEE" w:rsidRDefault="00187FCD" w:rsidP="00A524C4">
            <w:pPr>
              <w:jc w:val="both"/>
              <w:rPr>
                <w:lang w:val="uk-UA" w:eastAsia="ru-RU"/>
              </w:rPr>
            </w:pPr>
            <w:r w:rsidRPr="00FD6AEE">
              <w:rPr>
                <w:lang w:val="uk-UA" w:eastAsia="ru-RU"/>
              </w:rPr>
              <w:t>0,1</w:t>
            </w:r>
          </w:p>
        </w:tc>
        <w:tc>
          <w:tcPr>
            <w:tcW w:w="1776" w:type="dxa"/>
          </w:tcPr>
          <w:p w:rsidR="00187FCD" w:rsidRPr="00FD6AEE" w:rsidRDefault="00187FCD" w:rsidP="00A524C4">
            <w:pPr>
              <w:jc w:val="both"/>
              <w:rPr>
                <w:lang w:val="uk-UA" w:eastAsia="ru-RU"/>
              </w:rPr>
            </w:pPr>
            <w:r w:rsidRPr="00FD6AEE">
              <w:rPr>
                <w:lang w:val="uk-UA" w:eastAsia="ru-RU"/>
              </w:rPr>
              <w:t>0,3</w:t>
            </w:r>
          </w:p>
        </w:tc>
        <w:tc>
          <w:tcPr>
            <w:tcW w:w="1776" w:type="dxa"/>
          </w:tcPr>
          <w:p w:rsidR="00187FCD" w:rsidRPr="00FD6AEE" w:rsidRDefault="00187FCD" w:rsidP="00A524C4">
            <w:pPr>
              <w:jc w:val="both"/>
              <w:rPr>
                <w:lang w:val="uk-UA" w:eastAsia="ru-RU"/>
              </w:rPr>
            </w:pPr>
            <w:r w:rsidRPr="00FD6AEE">
              <w:rPr>
                <w:lang w:val="uk-UA" w:eastAsia="ru-RU"/>
              </w:rPr>
              <w:t>0,1</w:t>
            </w:r>
          </w:p>
        </w:tc>
        <w:tc>
          <w:tcPr>
            <w:tcW w:w="1776" w:type="dxa"/>
          </w:tcPr>
          <w:p w:rsidR="00187FCD" w:rsidRPr="00FD6AEE" w:rsidRDefault="00187FCD" w:rsidP="00A524C4">
            <w:pPr>
              <w:jc w:val="both"/>
              <w:rPr>
                <w:lang w:val="uk-UA" w:eastAsia="ru-RU"/>
              </w:rPr>
            </w:pPr>
            <w:r w:rsidRPr="00FD6AEE">
              <w:rPr>
                <w:lang w:val="uk-UA" w:eastAsia="ru-RU"/>
              </w:rPr>
              <w:t>0,1</w:t>
            </w:r>
          </w:p>
        </w:tc>
        <w:tc>
          <w:tcPr>
            <w:tcW w:w="1776" w:type="dxa"/>
          </w:tcPr>
          <w:p w:rsidR="00187FCD" w:rsidRPr="00FD6AEE" w:rsidRDefault="00187FCD" w:rsidP="00A524C4">
            <w:pPr>
              <w:jc w:val="both"/>
              <w:rPr>
                <w:lang w:val="uk-UA" w:eastAsia="ru-RU"/>
              </w:rPr>
            </w:pPr>
            <w:r w:rsidRPr="00FD6AEE">
              <w:rPr>
                <w:lang w:val="uk-UA" w:eastAsia="ru-RU"/>
              </w:rPr>
              <w:t>0,4</w:t>
            </w:r>
          </w:p>
        </w:tc>
      </w:tr>
    </w:tbl>
    <w:p w:rsidR="00187FCD" w:rsidRDefault="00187FCD" w:rsidP="00187FCD">
      <w:pPr>
        <w:ind w:firstLine="360"/>
        <w:jc w:val="both"/>
        <w:rPr>
          <w:lang w:val="uk-UA" w:eastAsia="ru-RU"/>
        </w:rPr>
      </w:pPr>
      <w:r w:rsidRPr="00FD6AEE">
        <w:rPr>
          <w:lang w:val="uk-UA" w:eastAsia="ru-RU"/>
        </w:rPr>
        <w:t>Відомі значення випадкових чисел: 0,05; 0,5; 0,7; 0,8.</w:t>
      </w:r>
    </w:p>
    <w:p w:rsidR="00187FCD" w:rsidRPr="00FD6AEE" w:rsidRDefault="00187FCD" w:rsidP="00187FCD">
      <w:pPr>
        <w:jc w:val="both"/>
        <w:rPr>
          <w:lang w:eastAsia="ru-RU"/>
        </w:rPr>
      </w:pPr>
    </w:p>
    <w:p w:rsidR="00187FCD" w:rsidRDefault="00187FCD" w:rsidP="00187FCD">
      <w:pPr>
        <w:jc w:val="both"/>
        <w:rPr>
          <w:lang w:val="ru-RU" w:eastAsia="ru-RU"/>
        </w:rPr>
      </w:pPr>
      <w:r>
        <w:rPr>
          <w:lang w:eastAsia="ru-RU"/>
        </w:rPr>
        <w:t>Δ</w:t>
      </w:r>
      <w:r w:rsidRPr="00C02854">
        <w:rPr>
          <w:vertAlign w:val="subscript"/>
          <w:lang w:val="ru-RU" w:eastAsia="ru-RU"/>
        </w:rPr>
        <w:t>1</w:t>
      </w:r>
      <w:r w:rsidRPr="00C02854">
        <w:rPr>
          <w:lang w:val="ru-RU" w:eastAsia="ru-RU"/>
        </w:rPr>
        <w:t xml:space="preserve"> – (0; 0,1);</w:t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>
        <w:rPr>
          <w:lang w:eastAsia="ru-RU"/>
        </w:rPr>
        <w:t>Δ</w:t>
      </w:r>
      <w:r w:rsidRPr="00C02854">
        <w:rPr>
          <w:vertAlign w:val="subscript"/>
          <w:lang w:val="ru-RU" w:eastAsia="ru-RU"/>
        </w:rPr>
        <w:t>2</w:t>
      </w:r>
      <w:r w:rsidRPr="00C02854">
        <w:rPr>
          <w:lang w:val="ru-RU" w:eastAsia="ru-RU"/>
        </w:rPr>
        <w:t xml:space="preserve"> – (0,1; 0,4)</w:t>
      </w:r>
      <w:r>
        <w:rPr>
          <w:lang w:val="ru-RU" w:eastAsia="ru-RU"/>
        </w:rPr>
        <w:t>;</w:t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>
        <w:rPr>
          <w:lang w:eastAsia="ru-RU"/>
        </w:rPr>
        <w:t>Δ</w:t>
      </w:r>
      <w:r w:rsidRPr="00C02854">
        <w:rPr>
          <w:vertAlign w:val="subscript"/>
          <w:lang w:val="ru-RU" w:eastAsia="ru-RU"/>
        </w:rPr>
        <w:t>3</w:t>
      </w:r>
      <w:r w:rsidRPr="00C02854">
        <w:rPr>
          <w:lang w:val="ru-RU" w:eastAsia="ru-RU"/>
        </w:rPr>
        <w:t xml:space="preserve"> – (0,4; 0,5);</w:t>
      </w:r>
    </w:p>
    <w:p w:rsidR="00187FCD" w:rsidRPr="00C02854" w:rsidRDefault="00187FCD" w:rsidP="00187FCD">
      <w:pPr>
        <w:jc w:val="both"/>
        <w:rPr>
          <w:lang w:val="ru-RU" w:eastAsia="ru-RU"/>
        </w:rPr>
      </w:pPr>
      <w:r>
        <w:rPr>
          <w:lang w:eastAsia="ru-RU"/>
        </w:rPr>
        <w:t>Δ</w:t>
      </w:r>
      <w:r w:rsidRPr="00C02854">
        <w:rPr>
          <w:vertAlign w:val="subscript"/>
          <w:lang w:val="ru-RU" w:eastAsia="ru-RU"/>
        </w:rPr>
        <w:t>4</w:t>
      </w:r>
      <w:r w:rsidRPr="00C02854">
        <w:rPr>
          <w:lang w:val="ru-RU" w:eastAsia="ru-RU"/>
        </w:rPr>
        <w:t xml:space="preserve"> – (0,5; 0,6);</w:t>
      </w:r>
      <w:r w:rsidRPr="00C02854">
        <w:rPr>
          <w:lang w:val="ru-RU" w:eastAsia="ru-RU"/>
        </w:rPr>
        <w:tab/>
      </w:r>
      <w:r w:rsidRPr="00C02854">
        <w:rPr>
          <w:lang w:val="ru-RU" w:eastAsia="ru-RU"/>
        </w:rPr>
        <w:tab/>
      </w:r>
      <w:r>
        <w:rPr>
          <w:lang w:eastAsia="ru-RU"/>
        </w:rPr>
        <w:t>Δ</w:t>
      </w:r>
      <w:r w:rsidRPr="00C02854">
        <w:rPr>
          <w:vertAlign w:val="subscript"/>
          <w:lang w:val="ru-RU" w:eastAsia="ru-RU"/>
        </w:rPr>
        <w:t>5</w:t>
      </w:r>
      <w:r w:rsidRPr="00C02854">
        <w:rPr>
          <w:lang w:val="ru-RU" w:eastAsia="ru-RU"/>
        </w:rPr>
        <w:t xml:space="preserve"> – (0,6; 1);</w:t>
      </w:r>
    </w:p>
    <w:p w:rsidR="00187FCD" w:rsidRPr="00C02854" w:rsidRDefault="00187FCD" w:rsidP="00187FCD">
      <w:pPr>
        <w:jc w:val="both"/>
        <w:rPr>
          <w:lang w:val="ru-RU" w:eastAsia="ru-RU"/>
        </w:rPr>
      </w:pPr>
    </w:p>
    <w:p w:rsidR="00187FCD" w:rsidRDefault="00187FCD" w:rsidP="00187FCD">
      <w:pPr>
        <w:jc w:val="both"/>
        <w:rPr>
          <w:lang w:val="ru-RU" w:eastAsia="ru-RU"/>
        </w:rPr>
      </w:pPr>
      <w:r>
        <w:rPr>
          <w:color w:val="121212"/>
          <w:sz w:val="28"/>
          <w:szCs w:val="28"/>
          <w:shd w:val="clear" w:color="auto" w:fill="FFFFFF"/>
        </w:rPr>
        <w:t>r</w:t>
      </w:r>
      <w:r w:rsidRPr="00C02854">
        <w:rPr>
          <w:color w:val="121212"/>
          <w:sz w:val="28"/>
          <w:szCs w:val="28"/>
          <w:shd w:val="clear" w:color="auto" w:fill="FFFFFF"/>
          <w:vertAlign w:val="subscript"/>
          <w:lang w:val="ru-RU"/>
        </w:rPr>
        <w:t>1</w:t>
      </w:r>
      <w:r w:rsidRPr="00C02854">
        <w:rPr>
          <w:color w:val="121212"/>
          <w:sz w:val="28"/>
          <w:szCs w:val="28"/>
          <w:shd w:val="clear" w:color="auto" w:fill="FFFFFF"/>
          <w:lang w:val="ru-RU"/>
        </w:rPr>
        <w:t xml:space="preserve"> = 0,05 </w:t>
      </w:r>
      <w:r w:rsidRPr="00C02854">
        <w:rPr>
          <w:rFonts w:ascii="Cambria Math" w:hAnsi="Cambria Math" w:cs="Cambria Math"/>
          <w:color w:val="121212"/>
          <w:sz w:val="28"/>
          <w:szCs w:val="28"/>
          <w:shd w:val="clear" w:color="auto" w:fill="FFFFFF"/>
          <w:lang w:val="ru-RU"/>
        </w:rPr>
        <w:t xml:space="preserve">∈ </w:t>
      </w:r>
      <w:r>
        <w:rPr>
          <w:lang w:eastAsia="ru-RU"/>
        </w:rPr>
        <w:t>Δ</w:t>
      </w:r>
      <w:r w:rsidRPr="00C02854">
        <w:rPr>
          <w:vertAlign w:val="subscript"/>
          <w:lang w:val="ru-RU" w:eastAsia="ru-RU"/>
        </w:rPr>
        <w:t>1</w:t>
      </w:r>
      <w:r w:rsidRPr="00C02854">
        <w:rPr>
          <w:lang w:val="ru-RU" w:eastAsia="ru-RU"/>
        </w:rPr>
        <w:t xml:space="preserve"> =&gt; </w:t>
      </w:r>
      <w:r>
        <w:rPr>
          <w:lang w:eastAsia="ru-RU"/>
        </w:rPr>
        <w:t>x</w:t>
      </w:r>
      <w:r w:rsidRPr="00C02854">
        <w:rPr>
          <w:vertAlign w:val="subscript"/>
          <w:lang w:val="ru-RU" w:eastAsia="ru-RU"/>
        </w:rPr>
        <w:t>1</w:t>
      </w:r>
      <w:r>
        <w:rPr>
          <w:lang w:val="ru-RU" w:eastAsia="ru-RU"/>
        </w:rPr>
        <w:t xml:space="preserve"> = 1</w:t>
      </w:r>
    </w:p>
    <w:p w:rsidR="00187FCD" w:rsidRPr="00C02854" w:rsidRDefault="00187FCD" w:rsidP="00187FCD">
      <w:pPr>
        <w:jc w:val="both"/>
        <w:rPr>
          <w:sz w:val="28"/>
          <w:szCs w:val="28"/>
          <w:lang w:val="ru-RU" w:eastAsia="ru-RU"/>
        </w:rPr>
      </w:pPr>
      <w:r>
        <w:rPr>
          <w:color w:val="121212"/>
          <w:sz w:val="28"/>
          <w:szCs w:val="28"/>
          <w:shd w:val="clear" w:color="auto" w:fill="FFFFFF"/>
        </w:rPr>
        <w:t>r</w:t>
      </w:r>
      <w:r>
        <w:rPr>
          <w:color w:val="121212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C02854">
        <w:rPr>
          <w:color w:val="121212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121212"/>
          <w:sz w:val="28"/>
          <w:szCs w:val="28"/>
          <w:shd w:val="clear" w:color="auto" w:fill="FFFFFF"/>
          <w:lang w:val="ru-RU"/>
        </w:rPr>
        <w:t>= 0,</w:t>
      </w:r>
      <w:r w:rsidRPr="00C02854">
        <w:rPr>
          <w:color w:val="121212"/>
          <w:sz w:val="28"/>
          <w:szCs w:val="28"/>
          <w:shd w:val="clear" w:color="auto" w:fill="FFFFFF"/>
          <w:lang w:val="ru-RU"/>
        </w:rPr>
        <w:t xml:space="preserve">5 </w:t>
      </w:r>
      <w:r w:rsidRPr="00C02854">
        <w:rPr>
          <w:rFonts w:ascii="Cambria Math" w:hAnsi="Cambria Math" w:cs="Cambria Math"/>
          <w:color w:val="121212"/>
          <w:sz w:val="28"/>
          <w:szCs w:val="28"/>
          <w:shd w:val="clear" w:color="auto" w:fill="FFFFFF"/>
          <w:lang w:val="ru-RU"/>
        </w:rPr>
        <w:t xml:space="preserve">∈ </w:t>
      </w:r>
      <w:r>
        <w:rPr>
          <w:lang w:eastAsia="ru-RU"/>
        </w:rPr>
        <w:t>Δ</w:t>
      </w:r>
      <w:r>
        <w:rPr>
          <w:vertAlign w:val="subscript"/>
          <w:lang w:val="ru-RU" w:eastAsia="ru-RU"/>
        </w:rPr>
        <w:t>4</w:t>
      </w:r>
      <w:r w:rsidRPr="00C02854">
        <w:rPr>
          <w:lang w:val="ru-RU" w:eastAsia="ru-RU"/>
        </w:rPr>
        <w:t xml:space="preserve"> =&gt; </w:t>
      </w:r>
      <w:r>
        <w:rPr>
          <w:lang w:eastAsia="ru-RU"/>
        </w:rPr>
        <w:t>x</w:t>
      </w:r>
      <w:r>
        <w:rPr>
          <w:vertAlign w:val="subscript"/>
          <w:lang w:val="ru-RU" w:eastAsia="ru-RU"/>
        </w:rPr>
        <w:t>2</w:t>
      </w:r>
      <w:r>
        <w:rPr>
          <w:lang w:val="ru-RU" w:eastAsia="ru-RU"/>
        </w:rPr>
        <w:t xml:space="preserve"> = 4</w:t>
      </w:r>
    </w:p>
    <w:p w:rsidR="00187FCD" w:rsidRPr="00C02854" w:rsidRDefault="00187FCD" w:rsidP="00187FCD">
      <w:pPr>
        <w:jc w:val="both"/>
        <w:rPr>
          <w:sz w:val="28"/>
          <w:szCs w:val="28"/>
          <w:lang w:val="ru-RU" w:eastAsia="ru-RU"/>
        </w:rPr>
      </w:pPr>
      <w:r>
        <w:rPr>
          <w:color w:val="121212"/>
          <w:sz w:val="28"/>
          <w:szCs w:val="28"/>
          <w:shd w:val="clear" w:color="auto" w:fill="FFFFFF"/>
        </w:rPr>
        <w:t>r</w:t>
      </w:r>
      <w:r w:rsidRPr="00C02854">
        <w:rPr>
          <w:color w:val="121212"/>
          <w:sz w:val="28"/>
          <w:szCs w:val="28"/>
          <w:shd w:val="clear" w:color="auto" w:fill="FFFFFF"/>
          <w:vertAlign w:val="subscript"/>
          <w:lang w:val="ru-RU"/>
        </w:rPr>
        <w:t>3</w:t>
      </w:r>
      <w:r w:rsidRPr="00C02854">
        <w:rPr>
          <w:color w:val="121212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121212"/>
          <w:sz w:val="28"/>
          <w:szCs w:val="28"/>
          <w:shd w:val="clear" w:color="auto" w:fill="FFFFFF"/>
          <w:lang w:val="ru-RU"/>
        </w:rPr>
        <w:t>= 0,7</w:t>
      </w:r>
      <w:r w:rsidRPr="00C02854">
        <w:rPr>
          <w:color w:val="121212"/>
          <w:sz w:val="28"/>
          <w:szCs w:val="28"/>
          <w:shd w:val="clear" w:color="auto" w:fill="FFFFFF"/>
          <w:lang w:val="ru-RU"/>
        </w:rPr>
        <w:t xml:space="preserve"> </w:t>
      </w:r>
      <w:r w:rsidRPr="00C02854">
        <w:rPr>
          <w:rFonts w:ascii="Cambria Math" w:hAnsi="Cambria Math" w:cs="Cambria Math"/>
          <w:color w:val="121212"/>
          <w:sz w:val="28"/>
          <w:szCs w:val="28"/>
          <w:shd w:val="clear" w:color="auto" w:fill="FFFFFF"/>
          <w:lang w:val="ru-RU"/>
        </w:rPr>
        <w:t xml:space="preserve">∈ </w:t>
      </w:r>
      <w:r>
        <w:rPr>
          <w:lang w:eastAsia="ru-RU"/>
        </w:rPr>
        <w:t>Δ</w:t>
      </w:r>
      <w:r>
        <w:rPr>
          <w:vertAlign w:val="subscript"/>
          <w:lang w:val="ru-RU" w:eastAsia="ru-RU"/>
        </w:rPr>
        <w:t>5</w:t>
      </w:r>
      <w:r w:rsidRPr="00C02854">
        <w:rPr>
          <w:lang w:val="ru-RU" w:eastAsia="ru-RU"/>
        </w:rPr>
        <w:t xml:space="preserve"> =&gt; </w:t>
      </w:r>
      <w:r>
        <w:rPr>
          <w:lang w:eastAsia="ru-RU"/>
        </w:rPr>
        <w:t>x</w:t>
      </w:r>
      <w:r w:rsidRPr="00C02854">
        <w:rPr>
          <w:vertAlign w:val="subscript"/>
          <w:lang w:val="ru-RU" w:eastAsia="ru-RU"/>
        </w:rPr>
        <w:t>3</w:t>
      </w:r>
      <w:r>
        <w:rPr>
          <w:lang w:val="ru-RU" w:eastAsia="ru-RU"/>
        </w:rPr>
        <w:t xml:space="preserve"> = 5</w:t>
      </w:r>
    </w:p>
    <w:p w:rsidR="00187FCD" w:rsidRPr="00C02854" w:rsidRDefault="00187FCD" w:rsidP="00187FCD">
      <w:pPr>
        <w:jc w:val="both"/>
        <w:rPr>
          <w:sz w:val="28"/>
          <w:szCs w:val="28"/>
          <w:lang w:val="ru-RU" w:eastAsia="ru-RU"/>
        </w:rPr>
      </w:pPr>
      <w:r>
        <w:rPr>
          <w:color w:val="121212"/>
          <w:sz w:val="28"/>
          <w:szCs w:val="28"/>
          <w:shd w:val="clear" w:color="auto" w:fill="FFFFFF"/>
        </w:rPr>
        <w:t>r</w:t>
      </w:r>
      <w:r>
        <w:rPr>
          <w:color w:val="121212"/>
          <w:sz w:val="28"/>
          <w:szCs w:val="28"/>
          <w:shd w:val="clear" w:color="auto" w:fill="FFFFFF"/>
          <w:vertAlign w:val="subscript"/>
        </w:rPr>
        <w:t>4</w:t>
      </w:r>
      <w:r w:rsidRPr="00C02854">
        <w:rPr>
          <w:color w:val="121212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121212"/>
          <w:sz w:val="28"/>
          <w:szCs w:val="28"/>
          <w:shd w:val="clear" w:color="auto" w:fill="FFFFFF"/>
          <w:lang w:val="ru-RU"/>
        </w:rPr>
        <w:t>= 0,8</w:t>
      </w:r>
      <w:r w:rsidRPr="00C02854">
        <w:rPr>
          <w:color w:val="121212"/>
          <w:sz w:val="28"/>
          <w:szCs w:val="28"/>
          <w:shd w:val="clear" w:color="auto" w:fill="FFFFFF"/>
          <w:lang w:val="ru-RU"/>
        </w:rPr>
        <w:t xml:space="preserve"> </w:t>
      </w:r>
      <w:r w:rsidRPr="00C02854">
        <w:rPr>
          <w:rFonts w:ascii="Cambria Math" w:hAnsi="Cambria Math" w:cs="Cambria Math"/>
          <w:color w:val="121212"/>
          <w:sz w:val="28"/>
          <w:szCs w:val="28"/>
          <w:shd w:val="clear" w:color="auto" w:fill="FFFFFF"/>
          <w:lang w:val="ru-RU"/>
        </w:rPr>
        <w:t xml:space="preserve">∈ </w:t>
      </w:r>
      <w:r>
        <w:rPr>
          <w:lang w:eastAsia="ru-RU"/>
        </w:rPr>
        <w:t>Δ</w:t>
      </w:r>
      <w:r>
        <w:rPr>
          <w:vertAlign w:val="subscript"/>
          <w:lang w:val="ru-RU" w:eastAsia="ru-RU"/>
        </w:rPr>
        <w:t>5</w:t>
      </w:r>
      <w:r w:rsidRPr="00C02854">
        <w:rPr>
          <w:lang w:val="ru-RU" w:eastAsia="ru-RU"/>
        </w:rPr>
        <w:t xml:space="preserve"> =&gt; </w:t>
      </w:r>
      <w:r>
        <w:rPr>
          <w:lang w:eastAsia="ru-RU"/>
        </w:rPr>
        <w:t>x</w:t>
      </w:r>
      <w:r>
        <w:rPr>
          <w:vertAlign w:val="subscript"/>
          <w:lang w:eastAsia="ru-RU"/>
        </w:rPr>
        <w:t>4</w:t>
      </w:r>
      <w:r>
        <w:rPr>
          <w:lang w:val="ru-RU" w:eastAsia="ru-RU"/>
        </w:rPr>
        <w:t xml:space="preserve"> = 5</w:t>
      </w:r>
    </w:p>
    <w:p w:rsidR="00187FCD" w:rsidRDefault="00187FCD" w:rsidP="00187FCD">
      <w:pPr>
        <w:jc w:val="both"/>
        <w:rPr>
          <w:sz w:val="28"/>
          <w:szCs w:val="28"/>
          <w:lang w:val="ru-RU" w:eastAsia="ru-RU"/>
        </w:rPr>
      </w:pPr>
    </w:p>
    <w:p w:rsidR="00187FCD" w:rsidRPr="00C02854" w:rsidRDefault="00187FCD" w:rsidP="00187FCD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X</w:t>
      </w:r>
      <w:r w:rsidRPr="00C02854">
        <w:rPr>
          <w:sz w:val="28"/>
          <w:szCs w:val="28"/>
          <w:lang w:val="ru-RU" w:eastAsia="ru-RU"/>
        </w:rPr>
        <w:t xml:space="preserve"> = </w:t>
      </w:r>
      <w:r>
        <w:rPr>
          <w:sz w:val="28"/>
          <w:szCs w:val="28"/>
          <w:lang w:eastAsia="ru-RU"/>
        </w:rPr>
        <w:t>(1+4+5+5)/4=15/4=</w:t>
      </w:r>
      <w:r w:rsidRPr="008B032E">
        <w:rPr>
          <w:sz w:val="28"/>
          <w:szCs w:val="28"/>
          <w:highlight w:val="green"/>
          <w:lang w:eastAsia="ru-RU"/>
        </w:rPr>
        <w:t>3,75</w:t>
      </w:r>
      <w:bookmarkStart w:id="0" w:name="_GoBack"/>
      <w:bookmarkEnd w:id="0"/>
    </w:p>
    <w:p w:rsidR="006B2E4E" w:rsidRDefault="006B2E4E" w:rsidP="006B2E4E">
      <w:pPr>
        <w:ind w:firstLine="540"/>
        <w:jc w:val="both"/>
        <w:rPr>
          <w:lang w:val="uk-UA" w:eastAsia="ru-RU"/>
        </w:rPr>
      </w:pPr>
    </w:p>
    <w:p w:rsidR="006B2E4E" w:rsidRDefault="006B2E4E" w:rsidP="006B2E4E">
      <w:pPr>
        <w:ind w:firstLine="540"/>
        <w:jc w:val="both"/>
        <w:rPr>
          <w:lang w:val="uk-UA" w:eastAsia="ru-RU"/>
        </w:rPr>
      </w:pPr>
    </w:p>
    <w:p w:rsidR="006B2E4E" w:rsidRDefault="006B2E4E" w:rsidP="006B2E4E">
      <w:pPr>
        <w:ind w:firstLine="540"/>
        <w:jc w:val="both"/>
        <w:rPr>
          <w:lang w:val="uk-UA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99"/>
        <w:gridCol w:w="1737"/>
        <w:gridCol w:w="940"/>
        <w:gridCol w:w="1564"/>
      </w:tblGrid>
      <w:tr w:rsidR="006B2E4E" w:rsidTr="00A524C4">
        <w:tc>
          <w:tcPr>
            <w:tcW w:w="2808" w:type="dxa"/>
          </w:tcPr>
          <w:p w:rsidR="006B2E4E" w:rsidRPr="005F68E7" w:rsidRDefault="006B2E4E" w:rsidP="00A524C4">
            <w:pPr>
              <w:pStyle w:val="Footer"/>
              <w:rPr>
                <w:sz w:val="16"/>
                <w:szCs w:val="16"/>
                <w:lang w:val="uk-UA"/>
              </w:rPr>
            </w:pPr>
            <w:r w:rsidRPr="005F68E7">
              <w:rPr>
                <w:sz w:val="16"/>
                <w:szCs w:val="16"/>
                <w:lang w:val="uk-UA"/>
              </w:rPr>
              <w:t>Доцент каф. ІС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6B2E4E" w:rsidRPr="005F68E7" w:rsidRDefault="006B2E4E" w:rsidP="00A524C4">
            <w:pPr>
              <w:pStyle w:val="Footer"/>
              <w:rPr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</w:tcPr>
          <w:p w:rsidR="006B2E4E" w:rsidRPr="005F68E7" w:rsidRDefault="006B2E4E" w:rsidP="00A524C4">
            <w:pPr>
              <w:pStyle w:val="Footer"/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1620" w:type="dxa"/>
            <w:tcBorders>
              <w:left w:val="nil"/>
              <w:bottom w:val="single" w:sz="4" w:space="0" w:color="auto"/>
            </w:tcBorders>
          </w:tcPr>
          <w:p w:rsidR="006B2E4E" w:rsidRPr="005F68E7" w:rsidRDefault="006B2E4E" w:rsidP="00A524C4">
            <w:pPr>
              <w:pStyle w:val="Footer"/>
              <w:jc w:val="right"/>
              <w:rPr>
                <w:sz w:val="16"/>
                <w:szCs w:val="16"/>
                <w:lang w:val="uk-UA"/>
              </w:rPr>
            </w:pPr>
            <w:r w:rsidRPr="005F68E7">
              <w:rPr>
                <w:sz w:val="16"/>
                <w:szCs w:val="16"/>
                <w:lang w:val="uk-UA"/>
              </w:rPr>
              <w:t>Л.І. Коротка</w:t>
            </w:r>
          </w:p>
        </w:tc>
      </w:tr>
      <w:tr w:rsidR="006B2E4E" w:rsidTr="00A524C4">
        <w:tc>
          <w:tcPr>
            <w:tcW w:w="2808" w:type="dxa"/>
          </w:tcPr>
          <w:p w:rsidR="006B2E4E" w:rsidRPr="0070427B" w:rsidRDefault="006B2E4E" w:rsidP="00A524C4">
            <w:pPr>
              <w:pStyle w:val="Footer"/>
              <w:rPr>
                <w:sz w:val="16"/>
                <w:szCs w:val="16"/>
                <w:lang w:val="uk-UA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6B2E4E" w:rsidRPr="00E80D04" w:rsidRDefault="006B2E4E" w:rsidP="00A524C4">
            <w:pPr>
              <w:pStyle w:val="Footer"/>
              <w:jc w:val="center"/>
              <w:rPr>
                <w:sz w:val="12"/>
                <w:szCs w:val="12"/>
                <w:lang w:val="uk-UA"/>
              </w:rPr>
            </w:pPr>
            <w:r w:rsidRPr="00E80D04">
              <w:rPr>
                <w:sz w:val="12"/>
                <w:szCs w:val="12"/>
                <w:lang w:val="uk-UA"/>
              </w:rPr>
              <w:t>(підпис)</w:t>
            </w:r>
          </w:p>
        </w:tc>
        <w:tc>
          <w:tcPr>
            <w:tcW w:w="1020" w:type="dxa"/>
          </w:tcPr>
          <w:p w:rsidR="006B2E4E" w:rsidRPr="00E80D04" w:rsidRDefault="006B2E4E" w:rsidP="00A524C4">
            <w:pPr>
              <w:pStyle w:val="Footer"/>
              <w:jc w:val="center"/>
              <w:rPr>
                <w:sz w:val="12"/>
                <w:szCs w:val="12"/>
                <w:lang w:val="uk-U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</w:tcBorders>
          </w:tcPr>
          <w:p w:rsidR="006B2E4E" w:rsidRPr="00E80D04" w:rsidRDefault="006B2E4E" w:rsidP="00A524C4">
            <w:pPr>
              <w:pStyle w:val="Footer"/>
              <w:jc w:val="center"/>
              <w:rPr>
                <w:sz w:val="12"/>
                <w:szCs w:val="12"/>
                <w:lang w:val="uk-UA"/>
              </w:rPr>
            </w:pPr>
            <w:r w:rsidRPr="00E80D04">
              <w:rPr>
                <w:sz w:val="12"/>
                <w:szCs w:val="12"/>
                <w:lang w:val="uk-UA"/>
              </w:rPr>
              <w:t>(ПІБ)</w:t>
            </w:r>
          </w:p>
        </w:tc>
      </w:tr>
    </w:tbl>
    <w:p w:rsidR="006B2E4E" w:rsidRPr="007B4AAA" w:rsidRDefault="006B2E4E" w:rsidP="006B2E4E">
      <w:pPr>
        <w:ind w:firstLine="540"/>
        <w:jc w:val="both"/>
        <w:rPr>
          <w:lang w:val="ru-RU" w:eastAsia="ru-RU"/>
        </w:rPr>
      </w:pPr>
    </w:p>
    <w:p w:rsidR="00451ED8" w:rsidRPr="006B2E4E" w:rsidRDefault="006B2E4E" w:rsidP="006B2E4E">
      <w:pPr>
        <w:rPr>
          <w:lang w:val="ru-RU"/>
        </w:rPr>
      </w:pPr>
      <w:r w:rsidRPr="002766D0">
        <w:rPr>
          <w:lang w:val="uk-UA"/>
        </w:rPr>
        <w:br w:type="page"/>
      </w:r>
    </w:p>
    <w:sectPr w:rsidR="00451ED8" w:rsidRPr="006B2E4E" w:rsidSect="006B2E4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2548A"/>
    <w:multiLevelType w:val="hybridMultilevel"/>
    <w:tmpl w:val="069E5E0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66"/>
    <w:rsid w:val="00187FCD"/>
    <w:rsid w:val="00206B66"/>
    <w:rsid w:val="00362258"/>
    <w:rsid w:val="00451ED8"/>
    <w:rsid w:val="006B2E4E"/>
    <w:rsid w:val="008B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92DB"/>
  <w15:chartTrackingRefBased/>
  <w15:docId w15:val="{240E65BC-11B7-43C9-AFE0-192AA087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2E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B2E4E"/>
    <w:pPr>
      <w:spacing w:after="160" w:line="259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6B2E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E4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B2E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E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Hromovoi</dc:creator>
  <cp:keywords/>
  <dc:description/>
  <cp:lastModifiedBy>Anatolii Hromovoi</cp:lastModifiedBy>
  <cp:revision>5</cp:revision>
  <dcterms:created xsi:type="dcterms:W3CDTF">2020-03-28T14:12:00Z</dcterms:created>
  <dcterms:modified xsi:type="dcterms:W3CDTF">2020-03-28T17:06:00Z</dcterms:modified>
</cp:coreProperties>
</file>