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240"/>
      </w:tblGrid>
      <w:tr w:rsidR="0011772A" w:rsidRPr="0011772A" w:rsidTr="009542D1"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11772A">
              <w:rPr>
                <w:b/>
                <w:sz w:val="20"/>
                <w:szCs w:val="20"/>
                <w:lang w:val="uk-UA"/>
              </w:rPr>
              <w:t xml:space="preserve">Державний вищий навчальний заклад </w:t>
            </w:r>
          </w:p>
          <w:p w:rsidR="0011772A" w:rsidRPr="0011772A" w:rsidRDefault="0011772A" w:rsidP="009542D1">
            <w:pPr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11772A">
              <w:rPr>
                <w:b/>
                <w:sz w:val="20"/>
                <w:szCs w:val="20"/>
                <w:lang w:val="uk-UA"/>
              </w:rPr>
              <w:t>«Український державний хіміко-технологічний університет»</w:t>
            </w:r>
          </w:p>
        </w:tc>
      </w:tr>
      <w:tr w:rsidR="0011772A" w:rsidRPr="0011772A" w:rsidTr="009542D1"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11772A" w:rsidRPr="0011772A" w:rsidTr="009542D1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Освітньо-кваліфікаційний рівень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Бакалавр</w:t>
            </w:r>
          </w:p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Бакалавр (на основі ОПП молодшого спеціаліста)</w:t>
            </w:r>
          </w:p>
        </w:tc>
      </w:tr>
      <w:tr w:rsidR="0011772A" w:rsidRPr="0011772A" w:rsidTr="009542D1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Спеціальність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122 – Комп’ютерні науки,</w:t>
            </w:r>
          </w:p>
        </w:tc>
      </w:tr>
      <w:tr w:rsidR="0011772A" w:rsidRPr="0011772A" w:rsidTr="009542D1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Семестр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6 семестр, 12 тетраместр</w:t>
            </w:r>
          </w:p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2 семестр, 4 тетраместр</w:t>
            </w:r>
          </w:p>
        </w:tc>
      </w:tr>
      <w:tr w:rsidR="0011772A" w:rsidRPr="0011772A" w:rsidTr="009542D1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rPr>
                <w:sz w:val="20"/>
                <w:szCs w:val="20"/>
                <w:lang w:val="uk-UA"/>
              </w:rPr>
            </w:pPr>
            <w:r w:rsidRPr="0011772A">
              <w:rPr>
                <w:sz w:val="20"/>
                <w:szCs w:val="20"/>
                <w:lang w:val="uk-UA"/>
              </w:rPr>
              <w:t>Навчальна дисципліна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rPr>
                <w:b/>
                <w:sz w:val="20"/>
                <w:szCs w:val="20"/>
                <w:lang w:val="uk-UA"/>
              </w:rPr>
            </w:pPr>
            <w:r w:rsidRPr="0011772A">
              <w:rPr>
                <w:b/>
                <w:sz w:val="20"/>
                <w:szCs w:val="20"/>
                <w:lang w:val="uk-UA"/>
              </w:rPr>
              <w:t>Моделювання систем</w:t>
            </w:r>
          </w:p>
        </w:tc>
      </w:tr>
      <w:tr w:rsidR="0011772A" w:rsidRPr="0011772A" w:rsidTr="009542D1"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72A" w:rsidRPr="0011772A" w:rsidRDefault="0011772A" w:rsidP="009542D1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11772A" w:rsidRPr="0011772A" w:rsidRDefault="0011772A" w:rsidP="009542D1">
            <w:pPr>
              <w:pStyle w:val="a3"/>
              <w:jc w:val="center"/>
              <w:rPr>
                <w:b/>
                <w:sz w:val="20"/>
                <w:szCs w:val="20"/>
                <w:lang w:val="uk-UA"/>
              </w:rPr>
            </w:pPr>
            <w:r w:rsidRPr="0011772A">
              <w:rPr>
                <w:b/>
                <w:caps/>
                <w:sz w:val="20"/>
                <w:szCs w:val="20"/>
                <w:lang w:val="uk-UA"/>
              </w:rPr>
              <w:t>Тестова контрольна робота</w:t>
            </w:r>
            <w:r w:rsidRPr="0011772A">
              <w:rPr>
                <w:b/>
                <w:sz w:val="20"/>
                <w:szCs w:val="20"/>
                <w:lang w:val="uk-UA"/>
              </w:rPr>
              <w:br/>
              <w:t>БІЛЕТ № 2</w:t>
            </w:r>
          </w:p>
          <w:p w:rsidR="0011772A" w:rsidRPr="0011772A" w:rsidRDefault="0011772A" w:rsidP="009542D1">
            <w:pPr>
              <w:pStyle w:val="a3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11772A" w:rsidRPr="0011772A" w:rsidRDefault="0011772A" w:rsidP="0011772A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183"/>
        <w:gridCol w:w="3729"/>
      </w:tblGrid>
      <w:tr w:rsidR="0011772A" w:rsidRPr="0011772A" w:rsidTr="009542D1">
        <w:tc>
          <w:tcPr>
            <w:tcW w:w="396" w:type="dxa"/>
            <w:shd w:val="clear" w:color="auto" w:fill="auto"/>
          </w:tcPr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>1.</w:t>
            </w:r>
          </w:p>
        </w:tc>
        <w:tc>
          <w:tcPr>
            <w:tcW w:w="6912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Модель системи це:</w:t>
            </w:r>
          </w:p>
        </w:tc>
      </w:tr>
      <w:tr w:rsidR="0011772A" w:rsidRPr="0011772A" w:rsidTr="009542D1">
        <w:tc>
          <w:tcPr>
            <w:tcW w:w="3579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 xml:space="preserve">А. </w:t>
            </w:r>
            <w:r w:rsidRPr="0011772A">
              <w:rPr>
                <w:highlight w:val="green"/>
                <w:lang w:val="uk-UA"/>
              </w:rPr>
              <w:t>об'єкт (система, процес)</w:t>
            </w:r>
          </w:p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>В. система</w:t>
            </w:r>
          </w:p>
        </w:tc>
        <w:tc>
          <w:tcPr>
            <w:tcW w:w="3729" w:type="dxa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С. процес</w:t>
            </w:r>
          </w:p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D. імітаційна модель</w:t>
            </w:r>
          </w:p>
        </w:tc>
      </w:tr>
      <w:tr w:rsidR="0011772A" w:rsidRPr="0011772A" w:rsidTr="009542D1">
        <w:tc>
          <w:tcPr>
            <w:tcW w:w="396" w:type="dxa"/>
            <w:shd w:val="clear" w:color="auto" w:fill="auto"/>
          </w:tcPr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>2.</w:t>
            </w:r>
          </w:p>
        </w:tc>
        <w:tc>
          <w:tcPr>
            <w:tcW w:w="6912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У класифікації видів моделювання систем знайти відповідність:</w:t>
            </w:r>
          </w:p>
        </w:tc>
      </w:tr>
      <w:tr w:rsidR="0011772A" w:rsidRPr="0011772A" w:rsidTr="009542D1">
        <w:tc>
          <w:tcPr>
            <w:tcW w:w="3579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А. детерміновані, динамічні</w:t>
            </w:r>
          </w:p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 xml:space="preserve">В. </w:t>
            </w:r>
            <w:r w:rsidRPr="0011772A">
              <w:rPr>
                <w:highlight w:val="green"/>
                <w:lang w:val="uk-UA"/>
              </w:rPr>
              <w:t>статичні, динамічні</w:t>
            </w:r>
          </w:p>
        </w:tc>
        <w:tc>
          <w:tcPr>
            <w:tcW w:w="3729" w:type="dxa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С. стохастичні, ймовірнісні</w:t>
            </w:r>
          </w:p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D. дискретні, реальні</w:t>
            </w:r>
          </w:p>
        </w:tc>
      </w:tr>
      <w:tr w:rsidR="0011772A" w:rsidRPr="0011772A" w:rsidTr="009542D1">
        <w:tc>
          <w:tcPr>
            <w:tcW w:w="396" w:type="dxa"/>
            <w:shd w:val="clear" w:color="auto" w:fill="auto"/>
          </w:tcPr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>3.</w:t>
            </w:r>
          </w:p>
        </w:tc>
        <w:tc>
          <w:tcPr>
            <w:tcW w:w="6912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SIMO-система це система:</w:t>
            </w:r>
          </w:p>
        </w:tc>
      </w:tr>
      <w:tr w:rsidR="0011772A" w:rsidRPr="0011772A" w:rsidTr="009542D1">
        <w:tc>
          <w:tcPr>
            <w:tcW w:w="3579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 xml:space="preserve">А. </w:t>
            </w:r>
            <w:r w:rsidRPr="0011772A">
              <w:rPr>
                <w:highlight w:val="green"/>
                <w:lang w:val="uk-UA"/>
              </w:rPr>
              <w:t>з одним входом та з декількома виходами</w:t>
            </w:r>
          </w:p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В. з одним входом та з одним виходом</w:t>
            </w:r>
          </w:p>
        </w:tc>
        <w:tc>
          <w:tcPr>
            <w:tcW w:w="3729" w:type="dxa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С. з декількома входами та з одним виходом</w:t>
            </w:r>
          </w:p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D. з декількома входами та з декількома виходами</w:t>
            </w:r>
          </w:p>
        </w:tc>
      </w:tr>
      <w:tr w:rsidR="0011772A" w:rsidRPr="0011772A" w:rsidTr="009542D1">
        <w:tc>
          <w:tcPr>
            <w:tcW w:w="396" w:type="dxa"/>
            <w:shd w:val="clear" w:color="auto" w:fill="auto"/>
          </w:tcPr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>4.</w:t>
            </w:r>
          </w:p>
        </w:tc>
        <w:tc>
          <w:tcPr>
            <w:tcW w:w="6912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До факторів повного факторного експерименту висуваються вимоги:</w:t>
            </w:r>
          </w:p>
        </w:tc>
      </w:tr>
      <w:tr w:rsidR="0011772A" w:rsidRPr="0011772A" w:rsidTr="009542D1">
        <w:tc>
          <w:tcPr>
            <w:tcW w:w="3579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 xml:space="preserve">А. </w:t>
            </w:r>
            <w:r w:rsidRPr="0011772A">
              <w:rPr>
                <w:highlight w:val="green"/>
                <w:lang w:val="uk-UA"/>
              </w:rPr>
              <w:t>вимірюваність та керованість, незалежність, сумісність</w:t>
            </w:r>
          </w:p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В. вимірюваність, незалежність, сумісність</w:t>
            </w:r>
          </w:p>
        </w:tc>
        <w:tc>
          <w:tcPr>
            <w:tcW w:w="3729" w:type="dxa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С. керованість, незалежність, сумісність</w:t>
            </w:r>
          </w:p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D. незалежність, сумісність</w:t>
            </w:r>
          </w:p>
          <w:p w:rsidR="0011772A" w:rsidRPr="0011772A" w:rsidRDefault="0011772A" w:rsidP="009542D1">
            <w:pPr>
              <w:rPr>
                <w:lang w:val="uk-UA"/>
              </w:rPr>
            </w:pPr>
          </w:p>
        </w:tc>
      </w:tr>
      <w:tr w:rsidR="0011772A" w:rsidRPr="0011772A" w:rsidTr="009542D1">
        <w:tc>
          <w:tcPr>
            <w:tcW w:w="396" w:type="dxa"/>
            <w:shd w:val="clear" w:color="auto" w:fill="auto"/>
          </w:tcPr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>5.</w:t>
            </w:r>
          </w:p>
        </w:tc>
        <w:tc>
          <w:tcPr>
            <w:tcW w:w="6912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Прийняття рішень у повному факторному експерименті при неоднорідності дисперсій іспитів:</w:t>
            </w:r>
          </w:p>
        </w:tc>
      </w:tr>
      <w:tr w:rsidR="0011772A" w:rsidRPr="0011772A" w:rsidTr="009542D1">
        <w:tc>
          <w:tcPr>
            <w:tcW w:w="3579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А. провести додаткову серію паралельних іспитів</w:t>
            </w:r>
          </w:p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>В. збільшити точність методу контролю змінної станів</w:t>
            </w:r>
          </w:p>
        </w:tc>
        <w:tc>
          <w:tcPr>
            <w:tcW w:w="3729" w:type="dxa"/>
            <w:shd w:val="clear" w:color="auto" w:fill="auto"/>
          </w:tcPr>
          <w:p w:rsidR="0011772A" w:rsidRPr="0011772A" w:rsidRDefault="0011772A" w:rsidP="009542D1">
            <w:pPr>
              <w:ind w:left="360"/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С. зменшити точність методу контролю змінної станів</w:t>
            </w:r>
          </w:p>
          <w:p w:rsidR="0011772A" w:rsidRPr="0011772A" w:rsidRDefault="0011772A" w:rsidP="009542D1">
            <w:pPr>
              <w:ind w:left="360"/>
              <w:jc w:val="both"/>
              <w:rPr>
                <w:lang w:val="uk-UA"/>
              </w:rPr>
            </w:pPr>
            <w:r w:rsidRPr="0011772A">
              <w:rPr>
                <w:highlight w:val="green"/>
                <w:lang w:val="uk-UA"/>
              </w:rPr>
              <w:t>D. провести додаткову серію паралельних іспитів та збільшити точність методу контролю змінної станів</w:t>
            </w:r>
          </w:p>
        </w:tc>
      </w:tr>
      <w:tr w:rsidR="0011772A" w:rsidRPr="0011772A" w:rsidTr="009542D1">
        <w:tc>
          <w:tcPr>
            <w:tcW w:w="396" w:type="dxa"/>
            <w:shd w:val="clear" w:color="auto" w:fill="auto"/>
          </w:tcPr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>6.</w:t>
            </w:r>
          </w:p>
        </w:tc>
        <w:tc>
          <w:tcPr>
            <w:tcW w:w="6912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>Розрахунок похибки іспиту обчислюється за формулою:</w:t>
            </w:r>
          </w:p>
        </w:tc>
      </w:tr>
      <w:tr w:rsidR="0011772A" w:rsidRPr="0011772A" w:rsidTr="009542D1">
        <w:tc>
          <w:tcPr>
            <w:tcW w:w="3579" w:type="dxa"/>
            <w:gridSpan w:val="2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highlight w:val="green"/>
                <w:lang w:val="uk-UA"/>
              </w:rPr>
              <w:t xml:space="preserve">А. </w:t>
            </w:r>
            <w:r w:rsidRPr="0011772A">
              <w:rPr>
                <w:position w:val="-28"/>
                <w:highlight w:val="green"/>
                <w:lang w:val="uk-UA"/>
              </w:rPr>
              <w:object w:dxaOrig="24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2pt;height:34.2pt" o:ole="">
                  <v:imagedata r:id="rId6" o:title=""/>
                </v:shape>
                <o:OLEObject Type="Embed" ProgID="Equation.3" ShapeID="_x0000_i1025" DrawAspect="Content" ObjectID="_1651056627" r:id="rId7"/>
              </w:object>
            </w:r>
          </w:p>
          <w:p w:rsidR="0011772A" w:rsidRPr="0011772A" w:rsidRDefault="0011772A" w:rsidP="009542D1">
            <w:pPr>
              <w:rPr>
                <w:lang w:val="uk-UA"/>
              </w:rPr>
            </w:pPr>
            <w:r w:rsidRPr="0011772A">
              <w:rPr>
                <w:lang w:val="uk-UA"/>
              </w:rPr>
              <w:t xml:space="preserve">В. </w:t>
            </w:r>
            <w:r w:rsidRPr="0011772A">
              <w:rPr>
                <w:position w:val="-28"/>
                <w:lang w:val="uk-UA"/>
              </w:rPr>
              <w:object w:dxaOrig="2120" w:dyaOrig="680">
                <v:shape id="_x0000_i1026" type="#_x0000_t75" style="width:106.2pt;height:34.2pt" o:ole="">
                  <v:imagedata r:id="rId8" o:title=""/>
                </v:shape>
                <o:OLEObject Type="Embed" ProgID="Equation.3" ShapeID="_x0000_i1026" DrawAspect="Content" ObjectID="_1651056628" r:id="rId9"/>
              </w:object>
            </w:r>
          </w:p>
        </w:tc>
        <w:tc>
          <w:tcPr>
            <w:tcW w:w="3729" w:type="dxa"/>
            <w:shd w:val="clear" w:color="auto" w:fill="auto"/>
          </w:tcPr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 xml:space="preserve">С. </w:t>
            </w:r>
            <w:r w:rsidRPr="0011772A">
              <w:rPr>
                <w:position w:val="-28"/>
                <w:lang w:val="uk-UA"/>
              </w:rPr>
              <w:object w:dxaOrig="1900" w:dyaOrig="680">
                <v:shape id="_x0000_i1027" type="#_x0000_t75" style="width:94.8pt;height:34.2pt" o:ole="">
                  <v:imagedata r:id="rId10" o:title=""/>
                </v:shape>
                <o:OLEObject Type="Embed" ProgID="Equation.3" ShapeID="_x0000_i1027" DrawAspect="Content" ObjectID="_1651056629" r:id="rId11"/>
              </w:object>
            </w:r>
          </w:p>
          <w:p w:rsidR="0011772A" w:rsidRPr="0011772A" w:rsidRDefault="0011772A" w:rsidP="009542D1">
            <w:pPr>
              <w:jc w:val="both"/>
              <w:rPr>
                <w:lang w:val="uk-UA"/>
              </w:rPr>
            </w:pPr>
            <w:r w:rsidRPr="0011772A">
              <w:rPr>
                <w:lang w:val="uk-UA"/>
              </w:rPr>
              <w:t xml:space="preserve">D. </w:t>
            </w:r>
            <w:r w:rsidRPr="0011772A">
              <w:rPr>
                <w:position w:val="-28"/>
                <w:lang w:val="uk-UA"/>
              </w:rPr>
              <w:object w:dxaOrig="2500" w:dyaOrig="680">
                <v:shape id="_x0000_i1028" type="#_x0000_t75" style="width:124.8pt;height:34.2pt" o:ole="">
                  <v:imagedata r:id="rId12" o:title=""/>
                </v:shape>
                <o:OLEObject Type="Embed" ProgID="Equation.3" ShapeID="_x0000_i1028" DrawAspect="Content" ObjectID="_1651056630" r:id="rId13"/>
              </w:object>
            </w:r>
          </w:p>
        </w:tc>
      </w:tr>
    </w:tbl>
    <w:p w:rsidR="0011772A" w:rsidRPr="0011772A" w:rsidRDefault="0011772A" w:rsidP="0011772A">
      <w:pPr>
        <w:jc w:val="both"/>
        <w:rPr>
          <w:lang w:val="uk-UA"/>
        </w:rPr>
      </w:pPr>
    </w:p>
    <w:p w:rsidR="0011772A" w:rsidRPr="0011772A" w:rsidRDefault="0011772A" w:rsidP="0011772A">
      <w:pPr>
        <w:jc w:val="both"/>
        <w:rPr>
          <w:lang w:val="uk-UA" w:eastAsia="ru-RU"/>
        </w:rPr>
      </w:pPr>
      <w:r w:rsidRPr="0011772A">
        <w:rPr>
          <w:b/>
          <w:lang w:val="uk-UA"/>
        </w:rPr>
        <w:t>Задача 1.</w:t>
      </w:r>
      <w:r w:rsidRPr="0011772A">
        <w:rPr>
          <w:lang w:val="uk-UA"/>
        </w:rPr>
        <w:t xml:space="preserve"> </w:t>
      </w:r>
      <w:r w:rsidRPr="0011772A">
        <w:rPr>
          <w:lang w:val="uk-UA" w:eastAsia="ru-RU"/>
        </w:rPr>
        <w:t>Розглянути процес функціонування системи, яка складається з трьох приладів. В початковий момент часу прилади можуть знаходитись у робочому стані у такому співвідношенні: 30, 40 та 30. Відома стохастична  матриця системи:</w:t>
      </w:r>
    </w:p>
    <w:p w:rsidR="0011772A" w:rsidRPr="0011772A" w:rsidRDefault="0011772A" w:rsidP="0011772A">
      <w:pPr>
        <w:jc w:val="both"/>
        <w:rPr>
          <w:lang w:val="uk-UA" w:eastAsia="ru-RU"/>
        </w:rPr>
      </w:pPr>
    </w:p>
    <w:p w:rsidR="0011772A" w:rsidRPr="0011772A" w:rsidRDefault="0011772A" w:rsidP="0011772A">
      <w:pPr>
        <w:jc w:val="center"/>
        <w:rPr>
          <w:rFonts w:eastAsia="Calibri"/>
          <w:position w:val="-50"/>
          <w:lang w:val="uk-UA" w:eastAsia="ru-RU"/>
        </w:rPr>
      </w:pPr>
      <w:r w:rsidRPr="0011772A">
        <w:rPr>
          <w:rFonts w:eastAsia="Calibri"/>
          <w:position w:val="-50"/>
          <w:lang w:val="uk-UA" w:eastAsia="ru-RU"/>
        </w:rPr>
        <w:object w:dxaOrig="2060" w:dyaOrig="1120">
          <v:shape id="_x0000_i1029" type="#_x0000_t75" style="width:102pt;height:55.8pt" o:ole="">
            <v:imagedata r:id="rId14" o:title=""/>
          </v:shape>
          <o:OLEObject Type="Embed" ProgID="Equation.3" ShapeID="_x0000_i1029" DrawAspect="Content" ObjectID="_1651056631" r:id="rId15"/>
        </w:object>
      </w:r>
    </w:p>
    <w:p w:rsidR="0011772A" w:rsidRPr="0011772A" w:rsidRDefault="0011772A" w:rsidP="0011772A">
      <w:pPr>
        <w:jc w:val="center"/>
        <w:rPr>
          <w:lang w:val="uk-UA" w:eastAsia="ru-RU"/>
        </w:rPr>
      </w:pPr>
    </w:p>
    <w:p w:rsidR="0011772A" w:rsidRPr="0011772A" w:rsidRDefault="0011772A" w:rsidP="0011772A">
      <w:pPr>
        <w:ind w:firstLine="720"/>
        <w:jc w:val="both"/>
        <w:rPr>
          <w:lang w:val="uk-UA" w:eastAsia="ru-RU"/>
        </w:rPr>
      </w:pPr>
      <w:r w:rsidRPr="0011772A">
        <w:rPr>
          <w:lang w:val="uk-UA" w:eastAsia="ru-RU"/>
        </w:rPr>
        <w:t>Визначити найвірогідніші стани системи через 2 кроки.</w:t>
      </w:r>
    </w:p>
    <w:p w:rsidR="0011772A" w:rsidRPr="0011772A" w:rsidRDefault="0011772A" w:rsidP="0011772A">
      <w:pPr>
        <w:ind w:firstLine="720"/>
        <w:jc w:val="both"/>
        <w:rPr>
          <w:lang w:val="uk-UA" w:eastAsia="ru-RU"/>
        </w:rPr>
      </w:pPr>
    </w:p>
    <w:p w:rsidR="0011772A" w:rsidRPr="0011772A" w:rsidRDefault="0011772A" w:rsidP="0011772A">
      <w:pPr>
        <w:autoSpaceDE w:val="0"/>
        <w:autoSpaceDN w:val="0"/>
        <w:adjustRightInd w:val="0"/>
        <w:jc w:val="center"/>
        <w:rPr>
          <w:noProof/>
          <w:lang w:val="uk-UA" w:eastAsia="ru-RU"/>
        </w:rPr>
      </w:pPr>
      <w:r w:rsidRPr="0011772A">
        <w:rPr>
          <w:noProof/>
          <w:lang w:val="ru-RU" w:eastAsia="ru-RU"/>
        </w:rPr>
        <w:drawing>
          <wp:inline distT="0" distB="0" distL="0" distR="0">
            <wp:extent cx="4625340" cy="693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2A" w:rsidRPr="0011772A" w:rsidRDefault="0011772A" w:rsidP="0011772A">
      <w:pPr>
        <w:autoSpaceDE w:val="0"/>
        <w:autoSpaceDN w:val="0"/>
        <w:adjustRightInd w:val="0"/>
        <w:jc w:val="both"/>
        <w:rPr>
          <w:noProof/>
          <w:lang w:val="uk-UA" w:eastAsia="ru-RU"/>
        </w:rPr>
      </w:pPr>
    </w:p>
    <w:p w:rsidR="0011772A" w:rsidRPr="0011772A" w:rsidRDefault="0011772A" w:rsidP="0011772A">
      <w:pPr>
        <w:autoSpaceDE w:val="0"/>
        <w:autoSpaceDN w:val="0"/>
        <w:adjustRightInd w:val="0"/>
        <w:jc w:val="center"/>
        <w:rPr>
          <w:noProof/>
          <w:lang w:val="uk-UA" w:eastAsia="ru-RU"/>
        </w:rPr>
      </w:pPr>
      <w:r w:rsidRPr="0011772A">
        <w:rPr>
          <w:noProof/>
          <w:lang w:val="ru-RU" w:eastAsia="ru-RU"/>
        </w:rPr>
        <w:drawing>
          <wp:inline distT="0" distB="0" distL="0" distR="0">
            <wp:extent cx="4625340" cy="990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2A" w:rsidRPr="0011772A" w:rsidRDefault="0011772A" w:rsidP="0011772A">
      <w:pPr>
        <w:autoSpaceDE w:val="0"/>
        <w:autoSpaceDN w:val="0"/>
        <w:adjustRightInd w:val="0"/>
        <w:jc w:val="both"/>
        <w:rPr>
          <w:lang w:val="uk-UA"/>
        </w:rPr>
      </w:pPr>
    </w:p>
    <w:p w:rsidR="0011772A" w:rsidRDefault="0011772A" w:rsidP="0011772A">
      <w:pPr>
        <w:jc w:val="both"/>
        <w:rPr>
          <w:lang w:val="uk-UA" w:eastAsia="ru-RU"/>
        </w:rPr>
      </w:pPr>
      <w:r w:rsidRPr="0011772A">
        <w:rPr>
          <w:b/>
          <w:lang w:val="uk-UA"/>
        </w:rPr>
        <w:t>Задача 2.</w:t>
      </w:r>
      <w:r w:rsidRPr="0011772A">
        <w:rPr>
          <w:lang w:val="uk-UA"/>
        </w:rPr>
        <w:t xml:space="preserve"> </w:t>
      </w:r>
      <w:r w:rsidR="006C1F80" w:rsidRPr="000D3F2B">
        <w:rPr>
          <w:lang w:val="uk-UA" w:eastAsia="ru-RU"/>
        </w:rPr>
        <w:t>Задані ймовірності трьох подій, які утворюють повну групу: р1=Р(А)=0,3; р2=Р(В)=0,2; р3=Р(С)=0,5. Розіграти два іспити, в кожному з яких відбудеться одна з подій. відомі значення випадкових чисел: 0,75; 0,05.</w:t>
      </w:r>
    </w:p>
    <w:p w:rsidR="006C1F80" w:rsidRDefault="006C1F80" w:rsidP="0011772A">
      <w:pPr>
        <w:jc w:val="both"/>
        <w:rPr>
          <w:lang w:val="uk-UA" w:eastAsia="ru-RU"/>
        </w:rPr>
      </w:pPr>
    </w:p>
    <w:p w:rsidR="006C1F80" w:rsidRPr="006C1F80" w:rsidRDefault="006C1F80" w:rsidP="0011772A">
      <w:pPr>
        <w:jc w:val="both"/>
        <w:rPr>
          <w:i/>
          <w:lang w:val="ru-RU"/>
        </w:rPr>
      </w:pPr>
      <w:r w:rsidRPr="006C1F80">
        <w:rPr>
          <w:i/>
          <w:highlight w:val="yellow"/>
          <w:lang w:val="ru-RU" w:eastAsia="ru-RU"/>
        </w:rPr>
        <w:t>Задачу взял на 14 странице</w:t>
      </w:r>
    </w:p>
    <w:p w:rsidR="0011772A" w:rsidRDefault="0011772A" w:rsidP="0011772A">
      <w:pPr>
        <w:jc w:val="both"/>
        <w:rPr>
          <w:lang w:val="uk-UA"/>
        </w:rPr>
      </w:pPr>
    </w:p>
    <w:p w:rsidR="0076428C" w:rsidRDefault="0076428C" w:rsidP="00E77D9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0"/>
        <w:gridCol w:w="516"/>
        <w:gridCol w:w="516"/>
        <w:gridCol w:w="516"/>
      </w:tblGrid>
      <w:tr w:rsidR="0076428C" w:rsidTr="0076428C">
        <w:tc>
          <w:tcPr>
            <w:tcW w:w="0" w:type="auto"/>
            <w:vAlign w:val="center"/>
          </w:tcPr>
          <w:p w:rsidR="0076428C" w:rsidRDefault="0076428C" w:rsidP="0076428C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:rsidR="0076428C" w:rsidRDefault="0076428C" w:rsidP="00E77D91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76428C" w:rsidRDefault="0076428C" w:rsidP="00E77D91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:rsidR="0076428C" w:rsidRDefault="0076428C" w:rsidP="00E77D91">
            <w:pPr>
              <w:jc w:val="both"/>
            </w:pPr>
            <w:r>
              <w:t>3</w:t>
            </w:r>
          </w:p>
        </w:tc>
      </w:tr>
      <w:tr w:rsidR="0076428C" w:rsidTr="0076428C">
        <w:tc>
          <w:tcPr>
            <w:tcW w:w="0" w:type="auto"/>
            <w:vAlign w:val="center"/>
          </w:tcPr>
          <w:p w:rsidR="0076428C" w:rsidRDefault="0076428C" w:rsidP="0076428C">
            <w:pPr>
              <w:jc w:val="center"/>
            </w:pPr>
            <w:r>
              <w:t>p</w:t>
            </w:r>
          </w:p>
        </w:tc>
        <w:tc>
          <w:tcPr>
            <w:tcW w:w="0" w:type="auto"/>
          </w:tcPr>
          <w:p w:rsidR="0076428C" w:rsidRPr="006C1F80" w:rsidRDefault="006C1F80" w:rsidP="00E77D9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0" w:type="auto"/>
          </w:tcPr>
          <w:p w:rsidR="0076428C" w:rsidRPr="006C1F80" w:rsidRDefault="0029105E" w:rsidP="006C1F80">
            <w:pPr>
              <w:jc w:val="both"/>
              <w:rPr>
                <w:lang w:val="ru-RU"/>
              </w:rPr>
            </w:pPr>
            <w:r>
              <w:t>0.</w:t>
            </w:r>
            <w:r w:rsidR="006C1F8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76428C" w:rsidRPr="006C1F80" w:rsidRDefault="0029105E" w:rsidP="006C1F80">
            <w:pPr>
              <w:jc w:val="both"/>
              <w:rPr>
                <w:lang w:val="ru-RU"/>
              </w:rPr>
            </w:pPr>
            <w:r>
              <w:t>0.</w:t>
            </w:r>
            <w:r w:rsidR="006C1F80">
              <w:rPr>
                <w:lang w:val="ru-RU"/>
              </w:rPr>
              <w:t>5</w:t>
            </w:r>
          </w:p>
        </w:tc>
      </w:tr>
    </w:tbl>
    <w:p w:rsidR="0076428C" w:rsidRDefault="0076428C" w:rsidP="00E77D91">
      <w:pPr>
        <w:jc w:val="both"/>
      </w:pPr>
    </w:p>
    <w:p w:rsidR="0076428C" w:rsidRPr="0076428C" w:rsidRDefault="0076428C" w:rsidP="00E77D91">
      <w:pPr>
        <w:jc w:val="both"/>
      </w:pPr>
      <w:r>
        <w:t>Δ</w:t>
      </w:r>
      <w:r>
        <w:rPr>
          <w:vertAlign w:val="subscript"/>
        </w:rPr>
        <w:t xml:space="preserve">1 </w:t>
      </w:r>
      <m:oMath>
        <m:r>
          <w:rPr>
            <w:rFonts w:ascii="Cambria Math" w:hAnsi="Cambria Math"/>
          </w:rPr>
          <m:t>∈</m:t>
        </m:r>
      </m:oMath>
      <w:r>
        <w:t xml:space="preserve"> (0; 0.</w:t>
      </w:r>
      <w:r w:rsidR="006C1F80">
        <w:rPr>
          <w:lang w:val="ru-RU"/>
        </w:rPr>
        <w:t>3</w:t>
      </w:r>
      <w:r>
        <w:t>)</w:t>
      </w:r>
    </w:p>
    <w:p w:rsidR="0076428C" w:rsidRDefault="0076428C" w:rsidP="0076428C">
      <w:pPr>
        <w:jc w:val="both"/>
      </w:pPr>
      <w:r>
        <w:t>Δ</w:t>
      </w:r>
      <w:r>
        <w:rPr>
          <w:vertAlign w:val="subscript"/>
        </w:rPr>
        <w:t xml:space="preserve">2 </w:t>
      </w:r>
      <m:oMath>
        <m:r>
          <w:rPr>
            <w:rFonts w:ascii="Cambria Math" w:hAnsi="Cambria Math"/>
          </w:rPr>
          <m:t>∈</m:t>
        </m:r>
      </m:oMath>
      <w:r>
        <w:t xml:space="preserve"> (0</w:t>
      </w:r>
      <w:r w:rsidR="006C1F80">
        <w:rPr>
          <w:lang w:val="ru-RU"/>
        </w:rPr>
        <w:t>.3</w:t>
      </w:r>
      <w:r>
        <w:t>; 0.</w:t>
      </w:r>
      <w:r w:rsidR="006C1F80">
        <w:rPr>
          <w:lang w:val="ru-RU"/>
        </w:rPr>
        <w:t>5</w:t>
      </w:r>
      <w:r>
        <w:t>)</w:t>
      </w:r>
    </w:p>
    <w:p w:rsidR="0076428C" w:rsidRDefault="0076428C" w:rsidP="0076428C">
      <w:pPr>
        <w:jc w:val="both"/>
      </w:pPr>
      <w:r>
        <w:t>Δ</w:t>
      </w:r>
      <w:r>
        <w:rPr>
          <w:vertAlign w:val="subscript"/>
        </w:rPr>
        <w:t xml:space="preserve">3 </w:t>
      </w:r>
      <m:oMath>
        <m:r>
          <w:rPr>
            <w:rFonts w:ascii="Cambria Math" w:hAnsi="Cambria Math"/>
          </w:rPr>
          <m:t>∈</m:t>
        </m:r>
      </m:oMath>
      <w:r>
        <w:t xml:space="preserve"> (0</w:t>
      </w:r>
      <w:r w:rsidR="002D03C6">
        <w:t>.</w:t>
      </w:r>
      <w:r w:rsidR="006C1F80">
        <w:rPr>
          <w:lang w:val="ru-RU"/>
        </w:rPr>
        <w:t>5</w:t>
      </w:r>
      <w:r>
        <w:t>; 0.</w:t>
      </w:r>
      <w:r w:rsidR="006C1F80">
        <w:rPr>
          <w:lang w:val="ru-RU"/>
        </w:rPr>
        <w:t>1</w:t>
      </w:r>
      <w:r>
        <w:t>)</w:t>
      </w:r>
    </w:p>
    <w:p w:rsidR="00A43BB9" w:rsidRDefault="00A43BB9">
      <w:pPr>
        <w:rPr>
          <w:lang w:val="uk-UA"/>
        </w:rPr>
      </w:pPr>
    </w:p>
    <w:p w:rsidR="002D03C6" w:rsidRPr="00A43BB9" w:rsidRDefault="004D2AD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75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A43BB9" w:rsidRPr="004831E4" w:rsidRDefault="004D2ADC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05</m:t>
        </m:r>
      </m:oMath>
      <w:r w:rsidR="004831E4">
        <w:rPr>
          <w:lang w:val="ru-RU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43BB9" w:rsidRDefault="00A43BB9">
      <w:pPr>
        <w:rPr>
          <w:lang w:val="uk-UA"/>
        </w:rPr>
      </w:pPr>
    </w:p>
    <w:p w:rsidR="004831E4" w:rsidRPr="004831E4" w:rsidRDefault="004831E4">
      <w:pPr>
        <w:rPr>
          <w:lang w:val="ru-RU"/>
        </w:rPr>
      </w:pPr>
      <w:r w:rsidRPr="004831E4">
        <w:rPr>
          <w:highlight w:val="green"/>
          <w:lang w:val="ru-RU"/>
        </w:rPr>
        <w:t>Последовательность: 3, 1.</w:t>
      </w:r>
      <w:bookmarkStart w:id="0" w:name="_GoBack"/>
      <w:bookmarkEnd w:id="0"/>
    </w:p>
    <w:sectPr w:rsidR="004831E4" w:rsidRPr="004831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ADC" w:rsidRDefault="004D2ADC" w:rsidP="0011772A">
      <w:r>
        <w:separator/>
      </w:r>
    </w:p>
  </w:endnote>
  <w:endnote w:type="continuationSeparator" w:id="0">
    <w:p w:rsidR="004D2ADC" w:rsidRDefault="004D2ADC" w:rsidP="0011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ADC" w:rsidRDefault="004D2ADC" w:rsidP="0011772A">
      <w:r>
        <w:separator/>
      </w:r>
    </w:p>
  </w:footnote>
  <w:footnote w:type="continuationSeparator" w:id="0">
    <w:p w:rsidR="004D2ADC" w:rsidRDefault="004D2ADC" w:rsidP="00117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8F"/>
    <w:rsid w:val="0011772A"/>
    <w:rsid w:val="0029105E"/>
    <w:rsid w:val="002D03C6"/>
    <w:rsid w:val="004831E4"/>
    <w:rsid w:val="004D2ADC"/>
    <w:rsid w:val="00570BEE"/>
    <w:rsid w:val="00676930"/>
    <w:rsid w:val="006C1F80"/>
    <w:rsid w:val="0076428C"/>
    <w:rsid w:val="0090318F"/>
    <w:rsid w:val="00A43BB9"/>
    <w:rsid w:val="00AD0577"/>
    <w:rsid w:val="00E7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76A3D"/>
  <w15:chartTrackingRefBased/>
  <w15:docId w15:val="{31A5E5EC-04D8-4AD5-9F66-ADBB66C7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2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7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177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1177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1772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76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D0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Hromovoi</dc:creator>
  <cp:keywords/>
  <dc:description/>
  <cp:lastModifiedBy>Anatolii Hromovoi</cp:lastModifiedBy>
  <cp:revision>3</cp:revision>
  <dcterms:created xsi:type="dcterms:W3CDTF">2020-05-15T09:43:00Z</dcterms:created>
  <dcterms:modified xsi:type="dcterms:W3CDTF">2020-05-15T11:03:00Z</dcterms:modified>
</cp:coreProperties>
</file>