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0D7F" w14:textId="189CC202" w:rsidR="00AE6B2F" w:rsidRPr="009165A0" w:rsidRDefault="00AE6B2F" w:rsidP="00AE6B2F">
      <w:pPr>
        <w:rPr>
          <w:b/>
          <w:bCs/>
          <w:sz w:val="28"/>
          <w:szCs w:val="28"/>
        </w:rPr>
      </w:pPr>
      <w:r w:rsidRPr="00AE6B2F">
        <w:rPr>
          <w:b/>
          <w:bCs/>
          <w:sz w:val="28"/>
          <w:szCs w:val="28"/>
        </w:rPr>
        <w:t xml:space="preserve">Adaptive Immunity as an Evolutionary Palimpsest: Convergent Strategies in Receptor Design </w:t>
      </w:r>
    </w:p>
    <w:p w14:paraId="64A1C2F7" w14:textId="77777777" w:rsidR="009165A0" w:rsidRDefault="009165A0" w:rsidP="00AE6B2F">
      <w:pPr>
        <w:rPr>
          <w:b/>
          <w:bCs/>
        </w:rPr>
      </w:pPr>
    </w:p>
    <w:p w14:paraId="10DA7725" w14:textId="396AB475" w:rsidR="009165A0" w:rsidRPr="00AE6B2F" w:rsidRDefault="009165A0" w:rsidP="00AE6B2F">
      <w:r>
        <w:rPr>
          <w:b/>
          <w:bCs/>
        </w:rPr>
        <w:t xml:space="preserve">Author: </w:t>
      </w:r>
      <w:r w:rsidR="000D5817">
        <w:rPr>
          <w:b/>
          <w:bCs/>
        </w:rPr>
        <w:t>Om Sanan</w:t>
      </w:r>
    </w:p>
    <w:p w14:paraId="06B778AA" w14:textId="77777777" w:rsidR="00AE6B2F" w:rsidRPr="00AE6B2F" w:rsidRDefault="00AE6B2F" w:rsidP="00AE6B2F">
      <w:pPr>
        <w:rPr>
          <w:b/>
          <w:bCs/>
        </w:rPr>
      </w:pPr>
      <w:r w:rsidRPr="00AE6B2F">
        <w:rPr>
          <w:b/>
          <w:bCs/>
        </w:rPr>
        <w:t>Abstract</w:t>
      </w:r>
    </w:p>
    <w:p w14:paraId="479CB5B9" w14:textId="77777777" w:rsidR="00AE6B2F" w:rsidRPr="00AE6B2F" w:rsidRDefault="00AE6B2F" w:rsidP="00AE6B2F">
      <w:r w:rsidRPr="00AE6B2F">
        <w:t>The vertebrate immune system represents a biological paradox: it is a static genome charged with recognizing a dynamic and effectively infinite pathogen landscape. The solution to this problem—the anticipatory generation of diverse receptors—emerged during the Cambrian explosion through two distinct, convergent evolutionary pathways. While jawed vertebrates (gnathostomes) domesticated a viral transposon to engineer the Immunoglobulin-based system, jawless vertebrates (agnathans) independently evolved a parallel system based on Leucine-Rich Repeats (LRRs). This paper explores the molecular genealogy of these systems, analyzing the structural exaptation of cell-adhesion motifs, the distinct genetic mechanisms of RAG-mediated recombination versus AID-mediated gene conversion, and the unique structural biology of single-domain antibodies in cartilaginous fish. By examining these divergent strategies, we reveal that adaptive immunity is not a singular evolutionary destination, but a functional necessity solved through the opportunistic repurposing of genomic debris.</w:t>
      </w:r>
    </w:p>
    <w:p w14:paraId="61F45B3D" w14:textId="77777777" w:rsidR="00AE6B2F" w:rsidRPr="00AE6B2F" w:rsidRDefault="00AE6B2F" w:rsidP="00AE6B2F">
      <w:pPr>
        <w:rPr>
          <w:b/>
          <w:bCs/>
        </w:rPr>
      </w:pPr>
      <w:r w:rsidRPr="00AE6B2F">
        <w:rPr>
          <w:b/>
          <w:bCs/>
        </w:rPr>
        <w:t>Introduction: The Anticipatory Challenge</w:t>
      </w:r>
    </w:p>
    <w:p w14:paraId="765D159D" w14:textId="77777777" w:rsidR="00AE6B2F" w:rsidRPr="00AE6B2F" w:rsidRDefault="00AE6B2F" w:rsidP="00AE6B2F">
      <w:r w:rsidRPr="00AE6B2F">
        <w:t>In the biological arms race, pathogens possess a distinct advantage: their generation times are measured in minutes, whereas vertebrate hosts measure theirs in years. This temporal asymmetry allows viral and bacterial genomes to mutate rapidly, outpacing the host’s ability to evolve specific, hard-wired defenses. Consequently, the reliance on innate immunity—pattern recognition receptors (PRRs) encoded directly in the germline—became insufficient for complex, long-lived multicellular organisms.</w:t>
      </w:r>
    </w:p>
    <w:p w14:paraId="6C131BCC" w14:textId="77777777" w:rsidR="00AE6B2F" w:rsidRPr="00AE6B2F" w:rsidRDefault="00AE6B2F" w:rsidP="00AE6B2F">
      <w:r w:rsidRPr="00AE6B2F">
        <w:t xml:space="preserve">To survive, vertebrates required an </w:t>
      </w:r>
      <w:r w:rsidRPr="00AE6B2F">
        <w:rPr>
          <w:b/>
          <w:bCs/>
        </w:rPr>
        <w:t>anticipatory</w:t>
      </w:r>
      <w:r w:rsidRPr="00AE6B2F">
        <w:t xml:space="preserve"> immune system. They needed a mechanism to generate receptors capable of recognizing antigens that the host had never encountered, and indeed, antigens that might not yet exist.</w:t>
      </w:r>
    </w:p>
    <w:p w14:paraId="341E5360" w14:textId="77777777" w:rsidR="00AE6B2F" w:rsidRPr="00AE6B2F" w:rsidRDefault="00AE6B2F" w:rsidP="00AE6B2F">
      <w:r w:rsidRPr="00AE6B2F">
        <w:t>This requirement drove the evolution of the Adaptive Immune System (AIS). For decades, biological dogma held that the AIS was a monophyletic trait, a singular "Big Bang" event that occurred in the ancestor of jawed vertebrates. This view was centered on the Immunoglobulin Superfamily (</w:t>
      </w:r>
      <w:proofErr w:type="spellStart"/>
      <w:r w:rsidRPr="00AE6B2F">
        <w:t>IgSF</w:t>
      </w:r>
      <w:proofErr w:type="spellEnd"/>
      <w:r w:rsidRPr="00AE6B2F">
        <w:t xml:space="preserve">) and the Recombination Activating Genes (RAG). However, the recent elucidation of the lamprey immune system has forced a paradigm shift. We now recognize that the "problem" of infinite recognition was solved twice: once </w:t>
      </w:r>
      <w:r w:rsidRPr="00AE6B2F">
        <w:lastRenderedPageBreak/>
        <w:t xml:space="preserve">via the </w:t>
      </w:r>
      <w:r w:rsidRPr="00AE6B2F">
        <w:rPr>
          <w:b/>
          <w:bCs/>
        </w:rPr>
        <w:t>structural scaffold of the beta-sandwich</w:t>
      </w:r>
      <w:r w:rsidRPr="00AE6B2F">
        <w:t xml:space="preserve"> (in humans and sharks), and once via the </w:t>
      </w:r>
      <w:r w:rsidRPr="00AE6B2F">
        <w:rPr>
          <w:b/>
          <w:bCs/>
        </w:rPr>
        <w:t>solenoid scaffold of the leucine-rich repeat</w:t>
      </w:r>
      <w:r w:rsidRPr="00AE6B2F">
        <w:t xml:space="preserve"> (in lampreys).</w:t>
      </w:r>
    </w:p>
    <w:p w14:paraId="0A7163DE" w14:textId="77777777" w:rsidR="00AE6B2F" w:rsidRPr="00AE6B2F" w:rsidRDefault="00AE6B2F" w:rsidP="00AE6B2F">
      <w:pPr>
        <w:rPr>
          <w:b/>
          <w:bCs/>
        </w:rPr>
      </w:pPr>
      <w:r w:rsidRPr="00AE6B2F">
        <w:rPr>
          <w:b/>
          <w:bCs/>
        </w:rPr>
        <w:t>The Pre-Cambrian Scaffold: From Adhesion to Recognition</w:t>
      </w:r>
    </w:p>
    <w:p w14:paraId="3B10F4E5" w14:textId="77777777" w:rsidR="00AE6B2F" w:rsidRPr="00AE6B2F" w:rsidRDefault="00AE6B2F" w:rsidP="00AE6B2F">
      <w:r w:rsidRPr="00AE6B2F">
        <w:t xml:space="preserve">Evolution rarely invents; it repurposes. The structural foundation of the human antibody is the </w:t>
      </w:r>
      <w:r w:rsidRPr="00AE6B2F">
        <w:rPr>
          <w:b/>
          <w:bCs/>
        </w:rPr>
        <w:t>Immunoglobulin (Ig) Fold</w:t>
      </w:r>
      <w:r w:rsidRPr="00AE6B2F">
        <w:t>, a domain characterized by a sandwich of two anti-parallel beta-sheets (comprising 7 to 9 strands) stabilized by a hydrophobic core and a conserved disulfide bridge.</w:t>
      </w:r>
    </w:p>
    <w:p w14:paraId="148FC657" w14:textId="77777777" w:rsidR="00AE6B2F" w:rsidRPr="00AE6B2F" w:rsidRDefault="00AE6B2F" w:rsidP="00AE6B2F">
      <w:r w:rsidRPr="00AE6B2F">
        <w:t xml:space="preserve">Originally, this fold had nothing to do with immunity. In early invertebrates, Ig-like domains were critical for </w:t>
      </w:r>
      <w:r w:rsidRPr="00AE6B2F">
        <w:rPr>
          <w:b/>
          <w:bCs/>
        </w:rPr>
        <w:t>Cell Adhesion Molecules (CAMs)</w:t>
      </w:r>
      <w:r w:rsidRPr="00AE6B2F">
        <w:t>, such as the Neural Cell Adhesion Molecule (NCAM). These proteins facilitated tissue organization by binding to identical proteins on neighboring cells (homophilic binding).</w:t>
      </w:r>
    </w:p>
    <w:p w14:paraId="6AB8C694" w14:textId="77777777" w:rsidR="00AE6B2F" w:rsidRPr="00AE6B2F" w:rsidRDefault="00AE6B2F" w:rsidP="00AE6B2F">
      <w:r w:rsidRPr="00AE6B2F">
        <w:t xml:space="preserve">The transition from "sticky glue" to "immune receptor" required a fundamental biophysical shift: the loss of self-binding affinity. Through gene duplication and subsequent mutation, a subset of these adhesion molecules diverged. They lost the ability to bind to "self" (homophilic) and acquired </w:t>
      </w:r>
      <w:proofErr w:type="gramStart"/>
      <w:r w:rsidRPr="00AE6B2F">
        <w:t>a</w:t>
      </w:r>
      <w:proofErr w:type="gramEnd"/>
      <w:r w:rsidRPr="00AE6B2F">
        <w:t xml:space="preserve"> unstable, variable loop region capable of binding "non-self" (heterophilic).</w:t>
      </w:r>
    </w:p>
    <w:p w14:paraId="4DA706D6" w14:textId="77777777" w:rsidR="00AE6B2F" w:rsidRPr="00AE6B2F" w:rsidRDefault="00AE6B2F" w:rsidP="00AE6B2F">
      <w:r w:rsidRPr="00AE6B2F">
        <w:t xml:space="preserve">We can see "molecular fossils" of this transition in invertebrates today. For example, the </w:t>
      </w:r>
      <w:r w:rsidRPr="00AE6B2F">
        <w:rPr>
          <w:i/>
          <w:iCs/>
        </w:rPr>
        <w:t>Drosophila</w:t>
      </w:r>
      <w:r w:rsidRPr="00AE6B2F">
        <w:t xml:space="preserve"> molecule </w:t>
      </w:r>
      <w:proofErr w:type="spellStart"/>
      <w:r w:rsidRPr="00AE6B2F">
        <w:rPr>
          <w:b/>
          <w:bCs/>
        </w:rPr>
        <w:t>Dscam</w:t>
      </w:r>
      <w:proofErr w:type="spellEnd"/>
      <w:r w:rsidRPr="00AE6B2F">
        <w:t xml:space="preserve"> (Down syndrome cell adhesion molecule) contains Ig domains and exhibits massive diversity through alternative splicing—generating up to 38,000 isoforms. While </w:t>
      </w:r>
      <w:proofErr w:type="spellStart"/>
      <w:r w:rsidRPr="00AE6B2F">
        <w:t>Dscam</w:t>
      </w:r>
      <w:proofErr w:type="spellEnd"/>
      <w:r w:rsidRPr="00AE6B2F">
        <w:t xml:space="preserve"> is primarily neuronal, it is also secreted into the hemolymph to bind bacteria, representing a "proto-antibody" state where adhesion and defense were not yet distinct functions.</w:t>
      </w:r>
    </w:p>
    <w:p w14:paraId="1BBE2F3D" w14:textId="77777777" w:rsidR="00AE6B2F" w:rsidRPr="00AE6B2F" w:rsidRDefault="00AE6B2F" w:rsidP="00AE6B2F">
      <w:pPr>
        <w:rPr>
          <w:b/>
          <w:bCs/>
        </w:rPr>
      </w:pPr>
      <w:r w:rsidRPr="00AE6B2F">
        <w:rPr>
          <w:b/>
          <w:bCs/>
        </w:rPr>
        <w:t>The RAG Invasion: Domestication of a "Jumping Gene"</w:t>
      </w:r>
    </w:p>
    <w:p w14:paraId="6A26F56C" w14:textId="77777777" w:rsidR="00AE6B2F" w:rsidRPr="00AE6B2F" w:rsidRDefault="00AE6B2F" w:rsidP="00AE6B2F">
      <w:r w:rsidRPr="00AE6B2F">
        <w:t xml:space="preserve">Around 500 million years ago, a pivotal event occurred in the genome of an ancestral jawed vertebrate: a horizontal gene transfer or an invasion by a DNA transposon, likely from the </w:t>
      </w:r>
      <w:proofErr w:type="spellStart"/>
      <w:r w:rsidRPr="00AE6B2F">
        <w:rPr>
          <w:i/>
          <w:iCs/>
        </w:rPr>
        <w:t>Transib</w:t>
      </w:r>
      <w:proofErr w:type="spellEnd"/>
      <w:r w:rsidRPr="00AE6B2F">
        <w:t xml:space="preserve"> superfamily.</w:t>
      </w:r>
    </w:p>
    <w:p w14:paraId="73A22E43" w14:textId="77777777" w:rsidR="00AE6B2F" w:rsidRPr="00AE6B2F" w:rsidRDefault="00AE6B2F" w:rsidP="00AE6B2F">
      <w:r w:rsidRPr="00AE6B2F">
        <w:t xml:space="preserve">Transposons are distinct genetic elements encoding enzymes that allow them to "cut" themselves out of a host genome and "paste" themselves elsewhere. This invasive element contained the precursors to </w:t>
      </w:r>
      <w:r w:rsidRPr="00AE6B2F">
        <w:rPr>
          <w:b/>
          <w:bCs/>
        </w:rPr>
        <w:t>RAG1</w:t>
      </w:r>
      <w:r w:rsidRPr="00AE6B2F">
        <w:t xml:space="preserve"> and </w:t>
      </w:r>
      <w:r w:rsidRPr="00AE6B2F">
        <w:rPr>
          <w:b/>
          <w:bCs/>
        </w:rPr>
        <w:t>RAG2</w:t>
      </w:r>
      <w:r w:rsidRPr="00AE6B2F">
        <w:t xml:space="preserve"> (Recombination Activating Genes).</w:t>
      </w:r>
    </w:p>
    <w:p w14:paraId="2FD5AE1C" w14:textId="77777777" w:rsidR="00AE6B2F" w:rsidRPr="00AE6B2F" w:rsidRDefault="00AE6B2F" w:rsidP="00AE6B2F">
      <w:r w:rsidRPr="00AE6B2F">
        <w:t>The "Big Bang" hypothesis posits that the host genome captured this transposon. Over evolutionary time, the "jumping" mechanism was suppressed, and the cutting mechanism was regulated. Instead of jumping randomly (which causes genomic instability and cancer), the RAG complex was restricted to specific loci: the Immunoglobulin heavy and light chain genes.</w:t>
      </w:r>
    </w:p>
    <w:p w14:paraId="3385460F" w14:textId="77777777" w:rsidR="00AE6B2F" w:rsidRPr="00AE6B2F" w:rsidRDefault="00AE6B2F" w:rsidP="00AE6B2F">
      <w:r w:rsidRPr="00AE6B2F">
        <w:lastRenderedPageBreak/>
        <w:t xml:space="preserve">The molecular evidence for this is irrefutable. The mechanism by which RAG1/2 cleaves DNA involves the formation of a </w:t>
      </w:r>
      <w:r w:rsidRPr="00AE6B2F">
        <w:rPr>
          <w:b/>
          <w:bCs/>
        </w:rPr>
        <w:t>hairpin coding end</w:t>
      </w:r>
      <w:r w:rsidRPr="00AE6B2F">
        <w:t xml:space="preserve">, a reaction chemistry identical to that used by modern retroviruses and transposons. Furthermore, the </w:t>
      </w:r>
      <w:r w:rsidRPr="00AE6B2F">
        <w:rPr>
          <w:b/>
          <w:bCs/>
        </w:rPr>
        <w:t>Recombination Signal Sequences (RSS)</w:t>
      </w:r>
      <w:r w:rsidRPr="00AE6B2F">
        <w:t xml:space="preserve">—the specific DNA flags that tell RAG where to cut—are homologous to the terminal inverted repeats of the ancient </w:t>
      </w:r>
      <w:proofErr w:type="spellStart"/>
      <w:r w:rsidRPr="00AE6B2F">
        <w:rPr>
          <w:i/>
          <w:iCs/>
        </w:rPr>
        <w:t>Transib</w:t>
      </w:r>
      <w:proofErr w:type="spellEnd"/>
      <w:r w:rsidRPr="00AE6B2F">
        <w:t xml:space="preserve"> transposon. Thus, the infinite diversity of the human antibody repertoire is powered by the molecular machinery of a domesticated genetic parasite.</w:t>
      </w:r>
    </w:p>
    <w:p w14:paraId="1ADD77C8" w14:textId="77777777" w:rsidR="00AE6B2F" w:rsidRPr="00AE6B2F" w:rsidRDefault="00AE6B2F" w:rsidP="00AE6B2F">
      <w:pPr>
        <w:rPr>
          <w:b/>
          <w:bCs/>
        </w:rPr>
      </w:pPr>
      <w:r w:rsidRPr="00AE6B2F">
        <w:rPr>
          <w:b/>
          <w:bCs/>
        </w:rPr>
        <w:t>The Agnathans: A Parallel Universe of Immunity</w:t>
      </w:r>
    </w:p>
    <w:p w14:paraId="3D48EE53" w14:textId="77777777" w:rsidR="00AE6B2F" w:rsidRPr="00AE6B2F" w:rsidRDefault="00AE6B2F" w:rsidP="00AE6B2F">
      <w:r w:rsidRPr="00AE6B2F">
        <w:t>For over a century, jawless vertebrates (agnathans like lampreys and hagfish) were considered the "primitive" cousins of the vertebrate family, thought to lack an adaptive immune system entirely. They possess no RAG genes, no thymus, and no immunoglobulins.</w:t>
      </w:r>
    </w:p>
    <w:p w14:paraId="31EBC89C" w14:textId="77777777" w:rsidR="00AE6B2F" w:rsidRPr="00AE6B2F" w:rsidRDefault="00AE6B2F" w:rsidP="00AE6B2F">
      <w:r w:rsidRPr="00AE6B2F">
        <w:t xml:space="preserve">However, in a landmark discovery in the mid-2000s, researchers identified </w:t>
      </w:r>
      <w:r w:rsidRPr="00AE6B2F">
        <w:rPr>
          <w:b/>
          <w:bCs/>
        </w:rPr>
        <w:t>Variable Lymphocyte Receptors (VLRs)</w:t>
      </w:r>
      <w:r w:rsidRPr="00AE6B2F">
        <w:t xml:space="preserve"> in lampreys. These receptors function identically to antibodies—they bind specific antigens, trigger clonal expansion, and provide memory—but they look completely different.</w:t>
      </w:r>
    </w:p>
    <w:p w14:paraId="3D7BD613" w14:textId="77777777" w:rsidR="00AE6B2F" w:rsidRPr="00AE6B2F" w:rsidRDefault="00AE6B2F" w:rsidP="00AE6B2F">
      <w:r w:rsidRPr="00AE6B2F">
        <w:t xml:space="preserve">Instead of the Ig fold, VLRs utilize </w:t>
      </w:r>
      <w:r w:rsidRPr="00AE6B2F">
        <w:rPr>
          <w:b/>
          <w:bCs/>
        </w:rPr>
        <w:t>Leucine-Rich Repeats (LRRs)</w:t>
      </w:r>
      <w:r w:rsidRPr="00AE6B2F">
        <w:t>. These motifs stack like Lego bricks to form a curved solenoid or "horseshoe" structure. The concave surface of the horseshoe, rich in variable amino acids, serves as the antigen-binding interface.</w:t>
      </w:r>
    </w:p>
    <w:p w14:paraId="52D062BB" w14:textId="77777777" w:rsidR="00AE6B2F" w:rsidRPr="00AE6B2F" w:rsidRDefault="00AE6B2F" w:rsidP="00AE6B2F">
      <w:r w:rsidRPr="00AE6B2F">
        <w:t xml:space="preserve">The existence of VLRs proves </w:t>
      </w:r>
      <w:r w:rsidRPr="00AE6B2F">
        <w:rPr>
          <w:b/>
          <w:bCs/>
        </w:rPr>
        <w:t>convergent evolution</w:t>
      </w:r>
      <w:r w:rsidRPr="00AE6B2F">
        <w:t>. Just as wings evolved independently in birds and bats, adaptive immunity evolved independently in jawed and jawless vertebrates.</w:t>
      </w:r>
    </w:p>
    <w:p w14:paraId="1F6872E2" w14:textId="77777777" w:rsidR="00AE6B2F" w:rsidRPr="00AE6B2F" w:rsidRDefault="00AE6B2F" w:rsidP="00AE6B2F">
      <w:pPr>
        <w:rPr>
          <w:b/>
          <w:bCs/>
        </w:rPr>
      </w:pPr>
      <w:r w:rsidRPr="00AE6B2F">
        <w:rPr>
          <w:b/>
          <w:bCs/>
        </w:rPr>
        <w:t>The Mechanism: Gene Conversion vs. Recombination</w:t>
      </w:r>
    </w:p>
    <w:p w14:paraId="050BFE81" w14:textId="77777777" w:rsidR="00AE6B2F" w:rsidRPr="00AE6B2F" w:rsidRDefault="00AE6B2F" w:rsidP="00AE6B2F">
      <w:r w:rsidRPr="00AE6B2F">
        <w:t xml:space="preserve">The most striking difference lies in how diversity is generated. Humans use "Cut and Paste" (RAG-mediated recombination), which results in the permanent loss of intervening DNA. Lampreys use </w:t>
      </w:r>
      <w:r w:rsidRPr="00AE6B2F">
        <w:rPr>
          <w:b/>
          <w:bCs/>
        </w:rPr>
        <w:t>"Copy and Paste"</w:t>
      </w:r>
      <w:r w:rsidRPr="00AE6B2F">
        <w:t xml:space="preserve"> (Gene Conversion).</w:t>
      </w:r>
    </w:p>
    <w:p w14:paraId="382F4965" w14:textId="77777777" w:rsidR="00AE6B2F" w:rsidRPr="00AE6B2F" w:rsidRDefault="00AE6B2F" w:rsidP="00AE6B2F">
      <w:r w:rsidRPr="00AE6B2F">
        <w:t xml:space="preserve">The lamprey VLR locus consists of a non-functional germline gene flanked by hundreds of diverse LRR cassettes. During lymphocyte development, an enzyme of the </w:t>
      </w:r>
      <w:r w:rsidRPr="00AE6B2F">
        <w:rPr>
          <w:b/>
          <w:bCs/>
        </w:rPr>
        <w:t>AID-APOBEC family</w:t>
      </w:r>
      <w:r w:rsidRPr="00AE6B2F">
        <w:t xml:space="preserve"> (specifically CDA1/2) induces DNA lesions at the VLR locus. The repair machinery resolves these lesions by copying sequences from the flanking cassettes into the gene. Because this is a copying mechanism, the original library of cassettes is preserved, theoretically allowing for infinite iterative refinement of the receptor—a strategy that arguably preserves genomic integrity better than the mammalian RAG system.</w:t>
      </w:r>
    </w:p>
    <w:p w14:paraId="091F79D1" w14:textId="77777777" w:rsidR="00AE6B2F" w:rsidRPr="00AE6B2F" w:rsidRDefault="00AE6B2F" w:rsidP="00AE6B2F">
      <w:pPr>
        <w:rPr>
          <w:b/>
          <w:bCs/>
        </w:rPr>
      </w:pPr>
      <w:r w:rsidRPr="00AE6B2F">
        <w:rPr>
          <w:b/>
          <w:bCs/>
        </w:rPr>
        <w:t>The Cartilaginous Innovation: Heavy-Chain-Only Antibodies</w:t>
      </w:r>
    </w:p>
    <w:p w14:paraId="1790FD67" w14:textId="77777777" w:rsidR="00AE6B2F" w:rsidRPr="00AE6B2F" w:rsidRDefault="00AE6B2F" w:rsidP="00AE6B2F">
      <w:r w:rsidRPr="00AE6B2F">
        <w:lastRenderedPageBreak/>
        <w:t xml:space="preserve">Within the lineage of jawed vertebrates, sharks (Chondrichthyes) offer a glimpse into the early plasticity of the Ig-based system. While sharks possess standard IgM, they also evolved a unique isotype: the </w:t>
      </w:r>
      <w:r w:rsidRPr="00AE6B2F">
        <w:rPr>
          <w:b/>
          <w:bCs/>
        </w:rPr>
        <w:t>Immunoglobulin New Antigen Receptor (</w:t>
      </w:r>
      <w:proofErr w:type="spellStart"/>
      <w:r w:rsidRPr="00AE6B2F">
        <w:rPr>
          <w:b/>
          <w:bCs/>
        </w:rPr>
        <w:t>IgNAR</w:t>
      </w:r>
      <w:proofErr w:type="spellEnd"/>
      <w:r w:rsidRPr="00AE6B2F">
        <w:rPr>
          <w:b/>
          <w:bCs/>
        </w:rPr>
        <w:t>)</w:t>
      </w:r>
      <w:r w:rsidRPr="00AE6B2F">
        <w:t>.</w:t>
      </w:r>
    </w:p>
    <w:p w14:paraId="30560DEB" w14:textId="77777777" w:rsidR="00AE6B2F" w:rsidRPr="00AE6B2F" w:rsidRDefault="00AE6B2F" w:rsidP="00AE6B2F">
      <w:r w:rsidRPr="00AE6B2F">
        <w:t xml:space="preserve">Standard mammalian antibodies (IgG) are </w:t>
      </w:r>
      <w:proofErr w:type="spellStart"/>
      <w:r w:rsidRPr="00AE6B2F">
        <w:t>heterotetramers</w:t>
      </w:r>
      <w:proofErr w:type="spellEnd"/>
      <w:r w:rsidRPr="00AE6B2F">
        <w:t xml:space="preserve">: two Heavy Chains and two Light Chains. The binding site is a cleft formed between the Heavy and Light domains. The </w:t>
      </w:r>
      <w:proofErr w:type="spellStart"/>
      <w:r w:rsidRPr="00AE6B2F">
        <w:t>IgNAR</w:t>
      </w:r>
      <w:proofErr w:type="spellEnd"/>
      <w:r w:rsidRPr="00AE6B2F">
        <w:t xml:space="preserve">, however, is a </w:t>
      </w:r>
      <w:r w:rsidRPr="00AE6B2F">
        <w:rPr>
          <w:b/>
          <w:bCs/>
        </w:rPr>
        <w:t>homodimer of Heavy Chains only</w:t>
      </w:r>
      <w:r w:rsidRPr="00AE6B2F">
        <w:t>. It lacks Light chains entirely.</w:t>
      </w:r>
    </w:p>
    <w:p w14:paraId="7060BE5E" w14:textId="77777777" w:rsidR="00AE6B2F" w:rsidRPr="00AE6B2F" w:rsidRDefault="00AE6B2F" w:rsidP="00AE6B2F">
      <w:pPr>
        <w:rPr>
          <w:b/>
          <w:bCs/>
        </w:rPr>
      </w:pPr>
      <w:r w:rsidRPr="00AE6B2F">
        <w:rPr>
          <w:b/>
          <w:bCs/>
        </w:rPr>
        <w:t>Structural and Clinical Implications</w:t>
      </w:r>
    </w:p>
    <w:p w14:paraId="4A741FB9" w14:textId="77777777" w:rsidR="00AE6B2F" w:rsidRPr="00AE6B2F" w:rsidRDefault="00AE6B2F" w:rsidP="00AE6B2F">
      <w:r w:rsidRPr="00AE6B2F">
        <w:t>The absence of a Light chain required a significant evolutionary engineering feat. in typical antibodies, the Heavy chain has a patch of hydrophobic (water-hating) amino acids designed to stick to the Light chain. If you remove the Light chain, this hydrophobic patch is exposed to water, causing the protein to clump and precipitate.</w:t>
      </w:r>
    </w:p>
    <w:p w14:paraId="63F1D48C" w14:textId="77777777" w:rsidR="00AE6B2F" w:rsidRPr="00AE6B2F" w:rsidRDefault="00AE6B2F" w:rsidP="00AE6B2F">
      <w:r w:rsidRPr="00AE6B2F">
        <w:t>Sharks solved this by mutating these hydrophobic residues to hydrophilic (water-loving) ones, allowing the Heavy chain to exist in isolation. The resulting binding domain (</w:t>
      </w:r>
      <w:proofErr w:type="spellStart"/>
      <w:r w:rsidRPr="00AE6B2F">
        <w:rPr>
          <w:b/>
          <w:bCs/>
        </w:rPr>
        <w:t>vNAR</w:t>
      </w:r>
      <w:proofErr w:type="spellEnd"/>
      <w:r w:rsidRPr="00AE6B2F">
        <w:t>) is bullet-shaped rather than cleft-shaped.</w:t>
      </w:r>
    </w:p>
    <w:p w14:paraId="4F73DE9E" w14:textId="77777777" w:rsidR="00AE6B2F" w:rsidRDefault="00AE6B2F" w:rsidP="00AE6B2F">
      <w:r w:rsidRPr="00AE6B2F">
        <w:t xml:space="preserve">This structural "slimming down" has profound functional consequences. The </w:t>
      </w:r>
      <w:proofErr w:type="spellStart"/>
      <w:r w:rsidRPr="00AE6B2F">
        <w:t>vNAR</w:t>
      </w:r>
      <w:proofErr w:type="spellEnd"/>
      <w:r w:rsidRPr="00AE6B2F">
        <w:t xml:space="preserve"> is approximately 12 </w:t>
      </w:r>
      <w:proofErr w:type="spellStart"/>
      <w:r w:rsidRPr="00AE6B2F">
        <w:t>kDa</w:t>
      </w:r>
      <w:proofErr w:type="spellEnd"/>
      <w:r w:rsidRPr="00AE6B2F">
        <w:t xml:space="preserve">, roughly one-tenth the size of a human IgG. Its small, finger-like loops (CDR3) </w:t>
      </w:r>
      <w:proofErr w:type="gramStart"/>
      <w:r w:rsidRPr="00AE6B2F">
        <w:t>allows</w:t>
      </w:r>
      <w:proofErr w:type="gramEnd"/>
      <w:r w:rsidRPr="00AE6B2F">
        <w:t xml:space="preserve"> it to penetrate </w:t>
      </w:r>
      <w:r w:rsidRPr="00AE6B2F">
        <w:rPr>
          <w:b/>
          <w:bCs/>
        </w:rPr>
        <w:t>cryptic epitopes</w:t>
      </w:r>
      <w:r w:rsidRPr="00AE6B2F">
        <w:t>—deep canyons on the surface of viruses (like HIV or Influenza) or enzyme active sites that are sterically inaccessible to the broad, flat binding surface of human antibodies.</w:t>
      </w:r>
    </w:p>
    <w:p w14:paraId="28FEFB21" w14:textId="77777777" w:rsidR="00F056CA" w:rsidRDefault="00F056CA" w:rsidP="00AE6B2F"/>
    <w:p w14:paraId="60E70D52" w14:textId="77777777" w:rsidR="00F056CA" w:rsidRPr="00F056CA" w:rsidRDefault="00F056CA" w:rsidP="00F056CA">
      <w:pPr>
        <w:rPr>
          <w:b/>
          <w:bCs/>
        </w:rPr>
      </w:pPr>
      <w:r w:rsidRPr="00F056CA">
        <w:rPr>
          <w:b/>
          <w:bCs/>
        </w:rPr>
        <w:t>The Diversification of the Arsenal: Phylogeny and Functional Specialization of Isotypes</w:t>
      </w:r>
    </w:p>
    <w:p w14:paraId="1AF6ED6A" w14:textId="77777777" w:rsidR="00F056CA" w:rsidRPr="00F056CA" w:rsidRDefault="00F056CA" w:rsidP="00F056CA">
      <w:r w:rsidRPr="00F056CA">
        <w:t xml:space="preserve">The evolution of the adaptive immune system was not merely about creating </w:t>
      </w:r>
      <w:r w:rsidRPr="00F056CA">
        <w:rPr>
          <w:i/>
          <w:iCs/>
        </w:rPr>
        <w:t>recognition</w:t>
      </w:r>
      <w:r w:rsidRPr="00F056CA">
        <w:t xml:space="preserve"> (the variable region); it was equally about refining </w:t>
      </w:r>
      <w:r w:rsidRPr="00F056CA">
        <w:rPr>
          <w:i/>
          <w:iCs/>
        </w:rPr>
        <w:t>effector function</w:t>
      </w:r>
      <w:r w:rsidRPr="00F056CA">
        <w:t xml:space="preserve"> (the constant region). As vertebrates moved from water to land and evolved more complex physiologies (placentas, lungs, complex guts), the crude, ancient antibodies were insufficient. Evolution responded by duplicating and modifying the Heavy Chain constant genes, giving rise to distinct </w:t>
      </w:r>
      <w:r w:rsidRPr="00F056CA">
        <w:rPr>
          <w:b/>
          <w:bCs/>
        </w:rPr>
        <w:t>isotypes</w:t>
      </w:r>
      <w:r w:rsidRPr="00F056CA">
        <w:t xml:space="preserve"> (classes) of antibodies.</w:t>
      </w:r>
    </w:p>
    <w:p w14:paraId="0DFEC132" w14:textId="77777777" w:rsidR="00F056CA" w:rsidRPr="00F056CA" w:rsidRDefault="00F056CA" w:rsidP="00F056CA">
      <w:r w:rsidRPr="00F056CA">
        <w:t xml:space="preserve">This process, driven by the mechanism of </w:t>
      </w:r>
      <w:r w:rsidRPr="00F056CA">
        <w:rPr>
          <w:b/>
          <w:bCs/>
        </w:rPr>
        <w:t>Class Switch Recombination (CSR)</w:t>
      </w:r>
      <w:r w:rsidRPr="00F056CA">
        <w:t>, allowed the B-cell to retain the same specific target recognition (Variable region) while swapping the biological "warhead" (Constant region) to suit different bodily environments.</w:t>
      </w:r>
    </w:p>
    <w:p w14:paraId="01464BCC" w14:textId="77777777" w:rsidR="00F056CA" w:rsidRPr="00F056CA" w:rsidRDefault="00F056CA" w:rsidP="00F056CA">
      <w:pPr>
        <w:rPr>
          <w:b/>
          <w:bCs/>
        </w:rPr>
      </w:pPr>
      <w:r w:rsidRPr="00F056CA">
        <w:rPr>
          <w:b/>
          <w:bCs/>
        </w:rPr>
        <w:t>1. The Ancient Archetype: IgM and the Logic of Avidity</w:t>
      </w:r>
    </w:p>
    <w:p w14:paraId="00D6802B" w14:textId="77777777" w:rsidR="00F056CA" w:rsidRPr="00F056CA" w:rsidRDefault="00F056CA" w:rsidP="00F056CA">
      <w:r w:rsidRPr="00F056CA">
        <w:rPr>
          <w:b/>
          <w:bCs/>
        </w:rPr>
        <w:t>IgM (Immunoglobulin Mu)</w:t>
      </w:r>
      <w:r w:rsidRPr="00F056CA">
        <w:t xml:space="preserve"> is the Adam of antibodies. It is universally present in all jawed vertebrates, from sharks to humans, marking it as the primordial isotype.</w:t>
      </w:r>
    </w:p>
    <w:p w14:paraId="3FFFA7CC" w14:textId="77777777" w:rsidR="00F056CA" w:rsidRPr="00F056CA" w:rsidRDefault="00F056CA" w:rsidP="00F056CA">
      <w:pPr>
        <w:numPr>
          <w:ilvl w:val="0"/>
          <w:numId w:val="2"/>
        </w:numPr>
      </w:pPr>
      <w:r w:rsidRPr="00F056CA">
        <w:rPr>
          <w:b/>
          <w:bCs/>
        </w:rPr>
        <w:lastRenderedPageBreak/>
        <w:t>Structural Logic:</w:t>
      </w:r>
      <w:r w:rsidRPr="00F056CA">
        <w:t xml:space="preserve"> In the earliest stages of an immune response, B-cells have not yet undergone "Affinity Maturation." Their receptors bind the pathogen weakly. To compensate for this </w:t>
      </w:r>
      <w:r w:rsidRPr="00F056CA">
        <w:rPr>
          <w:b/>
          <w:bCs/>
        </w:rPr>
        <w:t>low affinity</w:t>
      </w:r>
      <w:r w:rsidRPr="00F056CA">
        <w:t xml:space="preserve"> (weak individual grip), evolution designed IgM as a </w:t>
      </w:r>
      <w:r w:rsidRPr="00F056CA">
        <w:rPr>
          <w:b/>
          <w:bCs/>
        </w:rPr>
        <w:t>high avidity</w:t>
      </w:r>
      <w:r w:rsidRPr="00F056CA">
        <w:t xml:space="preserve"> machine. It forms a massive </w:t>
      </w:r>
      <w:r w:rsidRPr="00F056CA">
        <w:rPr>
          <w:b/>
          <w:bCs/>
        </w:rPr>
        <w:t>pentamer</w:t>
      </w:r>
      <w:r w:rsidRPr="00F056CA">
        <w:t xml:space="preserve"> (five units linked together) or hexamer, stabilized by a J-chain (Joining chain).</w:t>
      </w:r>
    </w:p>
    <w:p w14:paraId="4DD50899" w14:textId="77777777" w:rsidR="00F056CA" w:rsidRPr="00F056CA" w:rsidRDefault="00F056CA" w:rsidP="00F056CA">
      <w:pPr>
        <w:numPr>
          <w:ilvl w:val="0"/>
          <w:numId w:val="2"/>
        </w:numPr>
      </w:pPr>
      <w:r w:rsidRPr="00F056CA">
        <w:rPr>
          <w:b/>
          <w:bCs/>
        </w:rPr>
        <w:t>Mode of Action:</w:t>
      </w:r>
    </w:p>
    <w:p w14:paraId="00B7ABC1" w14:textId="77777777" w:rsidR="00F056CA" w:rsidRPr="00F056CA" w:rsidRDefault="00F056CA" w:rsidP="00F056CA">
      <w:pPr>
        <w:numPr>
          <w:ilvl w:val="1"/>
          <w:numId w:val="2"/>
        </w:numPr>
      </w:pPr>
      <w:r w:rsidRPr="00F056CA">
        <w:rPr>
          <w:b/>
          <w:bCs/>
        </w:rPr>
        <w:t>The "Velcro" Effect:</w:t>
      </w:r>
      <w:r w:rsidRPr="00F056CA">
        <w:t xml:space="preserve"> With 10 antigen-binding sites, even a weak binder can hold on tight if it grabs 10 spots at once.</w:t>
      </w:r>
    </w:p>
    <w:p w14:paraId="2144BA3F" w14:textId="77777777" w:rsidR="00F056CA" w:rsidRPr="00F056CA" w:rsidRDefault="00F056CA" w:rsidP="00F056CA">
      <w:pPr>
        <w:numPr>
          <w:ilvl w:val="1"/>
          <w:numId w:val="2"/>
        </w:numPr>
      </w:pPr>
      <w:r w:rsidRPr="00F056CA">
        <w:rPr>
          <w:b/>
          <w:bCs/>
        </w:rPr>
        <w:t>Complement Activation:</w:t>
      </w:r>
      <w:r w:rsidRPr="00F056CA">
        <w:t xml:space="preserve"> The IgM pentamer looks like a "staple" when bound to a surface. This specific shape is the perfect landing pad for the C1q protein, triggering the Classical Complement Pathway—a cascading explosion that punches holes in bacterial membranes.</w:t>
      </w:r>
    </w:p>
    <w:p w14:paraId="64A9C007" w14:textId="77777777" w:rsidR="00F056CA" w:rsidRPr="00F056CA" w:rsidRDefault="00F056CA" w:rsidP="00F056CA">
      <w:pPr>
        <w:numPr>
          <w:ilvl w:val="0"/>
          <w:numId w:val="2"/>
        </w:numPr>
      </w:pPr>
      <w:r w:rsidRPr="00F056CA">
        <w:rPr>
          <w:b/>
          <w:bCs/>
        </w:rPr>
        <w:t>Evolutionary Niche:</w:t>
      </w:r>
      <w:r w:rsidRPr="00F056CA">
        <w:t xml:space="preserve"> It remains the "first responder"—a brute-force weapon deployed rapidly in the blood to control infection before specific, high-affinity antibodies can be built.</w:t>
      </w:r>
    </w:p>
    <w:p w14:paraId="5F38BA46" w14:textId="77777777" w:rsidR="00F056CA" w:rsidRPr="00F056CA" w:rsidRDefault="00F056CA" w:rsidP="00F056CA">
      <w:pPr>
        <w:rPr>
          <w:b/>
          <w:bCs/>
        </w:rPr>
      </w:pPr>
      <w:r w:rsidRPr="00F056CA">
        <w:rPr>
          <w:b/>
          <w:bCs/>
        </w:rPr>
        <w:t>2. The Mucosal Imperative: The Lineage of IgA</w:t>
      </w:r>
    </w:p>
    <w:p w14:paraId="1E4EFCFA" w14:textId="77777777" w:rsidR="00F056CA" w:rsidRPr="00F056CA" w:rsidRDefault="00F056CA" w:rsidP="00F056CA">
      <w:r w:rsidRPr="00F056CA">
        <w:t>As vertebrates developed complex guts and lungs exposed to the outside world, they faced a new problem: how to protect these wet surfaces without causing damaging inflammation?</w:t>
      </w:r>
    </w:p>
    <w:p w14:paraId="574BCBB9" w14:textId="77777777" w:rsidR="00F056CA" w:rsidRPr="00F056CA" w:rsidRDefault="00F056CA" w:rsidP="00F056CA">
      <w:pPr>
        <w:numPr>
          <w:ilvl w:val="0"/>
          <w:numId w:val="3"/>
        </w:numPr>
      </w:pPr>
      <w:r w:rsidRPr="00F056CA">
        <w:rPr>
          <w:b/>
          <w:bCs/>
        </w:rPr>
        <w:t>Evolutionary Precursors:</w:t>
      </w:r>
      <w:r w:rsidRPr="00F056CA">
        <w:t xml:space="preserve"> Bony fish evolved </w:t>
      </w:r>
      <w:proofErr w:type="spellStart"/>
      <w:r w:rsidRPr="00F056CA">
        <w:rPr>
          <w:b/>
          <w:bCs/>
        </w:rPr>
        <w:t>IgT</w:t>
      </w:r>
      <w:proofErr w:type="spellEnd"/>
      <w:r w:rsidRPr="00F056CA">
        <w:t xml:space="preserve"> and </w:t>
      </w:r>
      <w:proofErr w:type="spellStart"/>
      <w:r w:rsidRPr="00F056CA">
        <w:rPr>
          <w:b/>
          <w:bCs/>
        </w:rPr>
        <w:t>IgZ</w:t>
      </w:r>
      <w:proofErr w:type="spellEnd"/>
      <w:r w:rsidRPr="00F056CA">
        <w:t xml:space="preserve">, and amphibians evolved </w:t>
      </w:r>
      <w:proofErr w:type="spellStart"/>
      <w:r w:rsidRPr="00F056CA">
        <w:rPr>
          <w:b/>
          <w:bCs/>
        </w:rPr>
        <w:t>IgX</w:t>
      </w:r>
      <w:proofErr w:type="spellEnd"/>
      <w:r w:rsidRPr="00F056CA">
        <w:t>. These were the ancestors of mucosal defense.</w:t>
      </w:r>
    </w:p>
    <w:p w14:paraId="11D36E4C" w14:textId="77777777" w:rsidR="00F056CA" w:rsidRPr="00F056CA" w:rsidRDefault="00F056CA" w:rsidP="00F056CA">
      <w:pPr>
        <w:numPr>
          <w:ilvl w:val="0"/>
          <w:numId w:val="3"/>
        </w:numPr>
      </w:pPr>
      <w:r w:rsidRPr="00F056CA">
        <w:rPr>
          <w:b/>
          <w:bCs/>
        </w:rPr>
        <w:t>Mammalian Refinement (IgA):</w:t>
      </w:r>
      <w:r w:rsidRPr="00F056CA">
        <w:t xml:space="preserve"> In mammals, this lineage matured into </w:t>
      </w:r>
      <w:r w:rsidRPr="00F056CA">
        <w:rPr>
          <w:b/>
          <w:bCs/>
        </w:rPr>
        <w:t>IgA</w:t>
      </w:r>
      <w:r w:rsidRPr="00F056CA">
        <w:t xml:space="preserve">. Unlike IgM, IgA is typically a </w:t>
      </w:r>
      <w:r w:rsidRPr="00F056CA">
        <w:rPr>
          <w:b/>
          <w:bCs/>
        </w:rPr>
        <w:t>dimer</w:t>
      </w:r>
      <w:r w:rsidRPr="00F056CA">
        <w:t xml:space="preserve"> (two units). Crucially, it co-evolved with a receptor on epithelial cells (the Poly-Ig Receptor) that transports the antibody </w:t>
      </w:r>
      <w:r w:rsidRPr="00F056CA">
        <w:rPr>
          <w:i/>
          <w:iCs/>
        </w:rPr>
        <w:t>through</w:t>
      </w:r>
      <w:r w:rsidRPr="00F056CA">
        <w:t xml:space="preserve"> the gut lining and releases it into the mucus.</w:t>
      </w:r>
    </w:p>
    <w:p w14:paraId="773B1746" w14:textId="77777777" w:rsidR="00F056CA" w:rsidRPr="00F056CA" w:rsidRDefault="00F056CA" w:rsidP="00F056CA">
      <w:pPr>
        <w:numPr>
          <w:ilvl w:val="0"/>
          <w:numId w:val="3"/>
        </w:numPr>
      </w:pPr>
      <w:r w:rsidRPr="00F056CA">
        <w:rPr>
          <w:b/>
          <w:bCs/>
        </w:rPr>
        <w:t>Mode of Action (Immune Exclusion):</w:t>
      </w:r>
      <w:r w:rsidRPr="00F056CA">
        <w:t xml:space="preserve"> IgA is the "silent bodyguard." It does not fix complement (which would cause inflammation and damage the gut lining). Instead, it functions by </w:t>
      </w:r>
      <w:r w:rsidRPr="00F056CA">
        <w:rPr>
          <w:b/>
          <w:bCs/>
        </w:rPr>
        <w:t>neutralization</w:t>
      </w:r>
      <w:r w:rsidRPr="00F056CA">
        <w:t xml:space="preserve"> and </w:t>
      </w:r>
      <w:r w:rsidRPr="00F056CA">
        <w:rPr>
          <w:b/>
          <w:bCs/>
        </w:rPr>
        <w:t>agglutination</w:t>
      </w:r>
      <w:r w:rsidRPr="00F056CA">
        <w:t>—coating bacteria and viruses so they literally slide off the mucosal surface and are flushed out of the body.</w:t>
      </w:r>
    </w:p>
    <w:p w14:paraId="30F8C514" w14:textId="77777777" w:rsidR="00F056CA" w:rsidRPr="00F056CA" w:rsidRDefault="00F056CA" w:rsidP="00F056CA">
      <w:pPr>
        <w:rPr>
          <w:b/>
          <w:bCs/>
        </w:rPr>
      </w:pPr>
      <w:r w:rsidRPr="00F056CA">
        <w:rPr>
          <w:b/>
          <w:bCs/>
        </w:rPr>
        <w:t xml:space="preserve">3. The Amniote Split: From </w:t>
      </w:r>
      <w:proofErr w:type="spellStart"/>
      <w:r w:rsidRPr="00F056CA">
        <w:rPr>
          <w:b/>
          <w:bCs/>
        </w:rPr>
        <w:t>IgY</w:t>
      </w:r>
      <w:proofErr w:type="spellEnd"/>
      <w:r w:rsidRPr="00F056CA">
        <w:rPr>
          <w:b/>
          <w:bCs/>
        </w:rPr>
        <w:t xml:space="preserve"> to IgG and IgE</w:t>
      </w:r>
    </w:p>
    <w:p w14:paraId="52AD526D" w14:textId="77777777" w:rsidR="00F056CA" w:rsidRPr="00F056CA" w:rsidRDefault="00F056CA" w:rsidP="00F056CA">
      <w:r w:rsidRPr="00F056CA">
        <w:t xml:space="preserve">The most significant divergence occurred when ancestors of mammals split from the ancestors of reptiles and birds. Birds and reptiles rely on a heavy, rigid antibody called </w:t>
      </w:r>
      <w:proofErr w:type="spellStart"/>
      <w:r w:rsidRPr="00F056CA">
        <w:rPr>
          <w:b/>
          <w:bCs/>
        </w:rPr>
        <w:t>IgY</w:t>
      </w:r>
      <w:proofErr w:type="spellEnd"/>
      <w:r w:rsidRPr="00F056CA">
        <w:t xml:space="preserve"> </w:t>
      </w:r>
      <w:r w:rsidRPr="00F056CA">
        <w:lastRenderedPageBreak/>
        <w:t xml:space="preserve">(Immunoglobulin Yolk). </w:t>
      </w:r>
      <w:proofErr w:type="spellStart"/>
      <w:r w:rsidRPr="00F056CA">
        <w:t>IgY</w:t>
      </w:r>
      <w:proofErr w:type="spellEnd"/>
      <w:r w:rsidRPr="00F056CA">
        <w:t xml:space="preserve"> acts as a "hybrid," performing the functions of both mammalian IgG and IgE.</w:t>
      </w:r>
    </w:p>
    <w:p w14:paraId="5E400859" w14:textId="77777777" w:rsidR="00F056CA" w:rsidRPr="00F056CA" w:rsidRDefault="00F056CA" w:rsidP="00F056CA">
      <w:r w:rsidRPr="00F056CA">
        <w:t xml:space="preserve">Mammals, however, split the </w:t>
      </w:r>
      <w:proofErr w:type="spellStart"/>
      <w:r w:rsidRPr="00F056CA">
        <w:t>IgY</w:t>
      </w:r>
      <w:proofErr w:type="spellEnd"/>
      <w:r w:rsidRPr="00F056CA">
        <w:t xml:space="preserve"> gene lineage into two highly specialized actors: </w:t>
      </w:r>
      <w:r w:rsidRPr="00F056CA">
        <w:rPr>
          <w:b/>
          <w:bCs/>
        </w:rPr>
        <w:t>IgG</w:t>
      </w:r>
      <w:r w:rsidRPr="00F056CA">
        <w:t xml:space="preserve"> and </w:t>
      </w:r>
      <w:r w:rsidRPr="00F056CA">
        <w:rPr>
          <w:b/>
          <w:bCs/>
        </w:rPr>
        <w:t>IgE</w:t>
      </w:r>
      <w:r w:rsidRPr="00F056CA">
        <w:t>.</w:t>
      </w:r>
    </w:p>
    <w:p w14:paraId="598D159F" w14:textId="77777777" w:rsidR="00F056CA" w:rsidRPr="00F056CA" w:rsidRDefault="00F056CA" w:rsidP="00F056CA">
      <w:r w:rsidRPr="00F056CA">
        <w:rPr>
          <w:b/>
          <w:bCs/>
        </w:rPr>
        <w:t>A. IgG: The Systemic Patroller</w:t>
      </w:r>
    </w:p>
    <w:p w14:paraId="1483660E" w14:textId="77777777" w:rsidR="00F056CA" w:rsidRPr="00F056CA" w:rsidRDefault="00F056CA" w:rsidP="00F056CA">
      <w:pPr>
        <w:numPr>
          <w:ilvl w:val="0"/>
          <w:numId w:val="4"/>
        </w:numPr>
      </w:pPr>
      <w:r w:rsidRPr="00F056CA">
        <w:rPr>
          <w:b/>
          <w:bCs/>
        </w:rPr>
        <w:t>Structural Innovation:</w:t>
      </w:r>
      <w:r w:rsidRPr="00F056CA">
        <w:t xml:space="preserve"> IgG lost one of the heavy chain domains found in </w:t>
      </w:r>
      <w:proofErr w:type="spellStart"/>
      <w:r w:rsidRPr="00F056CA">
        <w:t>IgY</w:t>
      </w:r>
      <w:proofErr w:type="spellEnd"/>
      <w:r w:rsidRPr="00F056CA">
        <w:t xml:space="preserve"> (CH2 domain deleted), replaced by a flexible </w:t>
      </w:r>
      <w:r w:rsidRPr="00F056CA">
        <w:rPr>
          <w:b/>
          <w:bCs/>
        </w:rPr>
        <w:t>Hinge Region</w:t>
      </w:r>
      <w:r w:rsidRPr="00F056CA">
        <w:t>.</w:t>
      </w:r>
    </w:p>
    <w:p w14:paraId="0FEEF324" w14:textId="77777777" w:rsidR="00F056CA" w:rsidRPr="00F056CA" w:rsidRDefault="00F056CA" w:rsidP="00F056CA">
      <w:pPr>
        <w:numPr>
          <w:ilvl w:val="0"/>
          <w:numId w:val="4"/>
        </w:numPr>
      </w:pPr>
      <w:r w:rsidRPr="00F056CA">
        <w:rPr>
          <w:b/>
          <w:bCs/>
        </w:rPr>
        <w:t>Functional Benefit:</w:t>
      </w:r>
      <w:r w:rsidRPr="00F056CA">
        <w:t xml:space="preserve"> This hinge makes IgG smaller and more flexible than its ancestors. It can cartwheel and flex to bind antigens at awkward angles. Its small size (monomer) allows it to diffuse easily out of blood vessels and deep into tissues.</w:t>
      </w:r>
    </w:p>
    <w:p w14:paraId="5CF26D90" w14:textId="77777777" w:rsidR="00F056CA" w:rsidRPr="00F056CA" w:rsidRDefault="00F056CA" w:rsidP="00F056CA">
      <w:pPr>
        <w:numPr>
          <w:ilvl w:val="0"/>
          <w:numId w:val="4"/>
        </w:numPr>
      </w:pPr>
      <w:r w:rsidRPr="00F056CA">
        <w:rPr>
          <w:b/>
          <w:bCs/>
        </w:rPr>
        <w:t>The Placental Leap:</w:t>
      </w:r>
      <w:r w:rsidRPr="00F056CA">
        <w:t xml:space="preserve"> Evolution engineered a specific receptor, </w:t>
      </w:r>
      <w:proofErr w:type="spellStart"/>
      <w:r w:rsidRPr="00F056CA">
        <w:rPr>
          <w:b/>
          <w:bCs/>
        </w:rPr>
        <w:t>FcRn</w:t>
      </w:r>
      <w:proofErr w:type="spellEnd"/>
      <w:r w:rsidRPr="00F056CA">
        <w:t xml:space="preserve"> (Neonatal Fc Receptor), which grabs IgG and actively pumps it across the placenta from mother to fetus. This essentially "downloads" the mother’s immune experience into the offspring before birth—a trait unique to mammals.</w:t>
      </w:r>
    </w:p>
    <w:p w14:paraId="5B622413" w14:textId="77777777" w:rsidR="00F056CA" w:rsidRPr="00F056CA" w:rsidRDefault="00F056CA" w:rsidP="00F056CA">
      <w:r w:rsidRPr="00F056CA">
        <w:rPr>
          <w:b/>
          <w:bCs/>
        </w:rPr>
        <w:t>B. IgE: The Explosive Specialist</w:t>
      </w:r>
    </w:p>
    <w:p w14:paraId="5F0EC2EB" w14:textId="77777777" w:rsidR="00F056CA" w:rsidRPr="00F056CA" w:rsidRDefault="00F056CA" w:rsidP="00F056CA">
      <w:pPr>
        <w:numPr>
          <w:ilvl w:val="0"/>
          <w:numId w:val="5"/>
        </w:numPr>
      </w:pPr>
      <w:r w:rsidRPr="00F056CA">
        <w:rPr>
          <w:b/>
          <w:bCs/>
        </w:rPr>
        <w:t>The Context:</w:t>
      </w:r>
      <w:r w:rsidRPr="00F056CA">
        <w:t xml:space="preserve"> Early mammals were constantly plagued by macro-parasites (worms, ticks, flukes). Phagocytosis (eating the enemy) doesn't work when the enemy is a 10-inch tapeworm.</w:t>
      </w:r>
    </w:p>
    <w:p w14:paraId="54589F4A" w14:textId="77777777" w:rsidR="00F056CA" w:rsidRPr="00F056CA" w:rsidRDefault="00F056CA" w:rsidP="00F056CA">
      <w:pPr>
        <w:numPr>
          <w:ilvl w:val="0"/>
          <w:numId w:val="5"/>
        </w:numPr>
      </w:pPr>
      <w:r w:rsidRPr="00F056CA">
        <w:rPr>
          <w:b/>
          <w:bCs/>
        </w:rPr>
        <w:t>Mode of Action:</w:t>
      </w:r>
      <w:r w:rsidRPr="00F056CA">
        <w:t xml:space="preserve"> IgE evolved as a high-affinity "tripwire." It does not float freely in blood; instead, it binds almost irreversibly to </w:t>
      </w:r>
      <w:r w:rsidRPr="00F056CA">
        <w:rPr>
          <w:b/>
          <w:bCs/>
        </w:rPr>
        <w:t>Mast Cells</w:t>
      </w:r>
      <w:r w:rsidRPr="00F056CA">
        <w:t xml:space="preserve"> and </w:t>
      </w:r>
      <w:r w:rsidRPr="00F056CA">
        <w:rPr>
          <w:b/>
          <w:bCs/>
        </w:rPr>
        <w:t>Basophils</w:t>
      </w:r>
      <w:r w:rsidRPr="00F056CA">
        <w:t xml:space="preserve"> via the </w:t>
      </w:r>
      <w:proofErr w:type="spellStart"/>
      <w:r w:rsidRPr="00F056CA">
        <w:t>FcεRI</w:t>
      </w:r>
      <w:proofErr w:type="spellEnd"/>
      <w:r w:rsidRPr="00F056CA">
        <w:t xml:space="preserve"> receptor. When IgE touches a parasite, it detonates the mast cell, releasing toxic granules (histamine, proteases) to physically expel the parasite (via coughing, sneezing, vomiting, diarrhea).</w:t>
      </w:r>
    </w:p>
    <w:p w14:paraId="66E3C5A1" w14:textId="77777777" w:rsidR="00F056CA" w:rsidRPr="00F056CA" w:rsidRDefault="00F056CA" w:rsidP="00F056CA">
      <w:pPr>
        <w:numPr>
          <w:ilvl w:val="0"/>
          <w:numId w:val="5"/>
        </w:numPr>
      </w:pPr>
      <w:r w:rsidRPr="00F056CA">
        <w:rPr>
          <w:b/>
          <w:bCs/>
        </w:rPr>
        <w:t>Modern Context:</w:t>
      </w:r>
      <w:r w:rsidRPr="00F056CA">
        <w:t xml:space="preserve"> In the sanitized modern world, this powerful system often lacks a target, misfiring against harmless pollen or peanuts—resulting in allergies.</w:t>
      </w:r>
    </w:p>
    <w:p w14:paraId="4B2192F8" w14:textId="77777777" w:rsidR="00F056CA" w:rsidRPr="00F056CA" w:rsidRDefault="00F056CA" w:rsidP="00F056CA">
      <w:pPr>
        <w:rPr>
          <w:b/>
          <w:bCs/>
        </w:rPr>
      </w:pPr>
      <w:r w:rsidRPr="00F056CA">
        <w:rPr>
          <w:b/>
          <w:bCs/>
        </w:rPr>
        <w:t xml:space="preserve">4. </w:t>
      </w:r>
      <w:proofErr w:type="spellStart"/>
      <w:r w:rsidRPr="00F056CA">
        <w:rPr>
          <w:b/>
          <w:bCs/>
        </w:rPr>
        <w:t>IgD</w:t>
      </w:r>
      <w:proofErr w:type="spellEnd"/>
      <w:r w:rsidRPr="00F056CA">
        <w:rPr>
          <w:b/>
          <w:bCs/>
        </w:rPr>
        <w:t>: The Ancient Enigma</w:t>
      </w:r>
    </w:p>
    <w:p w14:paraId="621019FF" w14:textId="77777777" w:rsidR="00F056CA" w:rsidRPr="00F056CA" w:rsidRDefault="00F056CA" w:rsidP="00F056CA">
      <w:proofErr w:type="spellStart"/>
      <w:r w:rsidRPr="00F056CA">
        <w:rPr>
          <w:b/>
          <w:bCs/>
        </w:rPr>
        <w:t>IgD</w:t>
      </w:r>
      <w:proofErr w:type="spellEnd"/>
      <w:r w:rsidRPr="00F056CA">
        <w:rPr>
          <w:b/>
          <w:bCs/>
        </w:rPr>
        <w:t xml:space="preserve"> (Immunoglobulin Delta)</w:t>
      </w:r>
      <w:r w:rsidRPr="00F056CA">
        <w:t xml:space="preserve"> is an evolutionary puzzle. It appeared early in jawed fish (as </w:t>
      </w:r>
      <w:proofErr w:type="spellStart"/>
      <w:r w:rsidRPr="00F056CA">
        <w:rPr>
          <w:b/>
          <w:bCs/>
        </w:rPr>
        <w:t>IgW</w:t>
      </w:r>
      <w:proofErr w:type="spellEnd"/>
      <w:r w:rsidRPr="00F056CA">
        <w:t>), disappeared in birds, and reappeared in mammals.</w:t>
      </w:r>
    </w:p>
    <w:p w14:paraId="1EC226AD" w14:textId="77777777" w:rsidR="00F056CA" w:rsidRPr="00F056CA" w:rsidRDefault="00F056CA" w:rsidP="00F056CA">
      <w:pPr>
        <w:numPr>
          <w:ilvl w:val="0"/>
          <w:numId w:val="6"/>
        </w:numPr>
      </w:pPr>
      <w:r w:rsidRPr="00F056CA">
        <w:rPr>
          <w:b/>
          <w:bCs/>
        </w:rPr>
        <w:t>Function:</w:t>
      </w:r>
      <w:r w:rsidRPr="00F056CA">
        <w:t xml:space="preserve"> It is rarely secreted. Instead, it sits alongside IgM on the surface of naive B-cells. Recent research suggests it may function as a specialized "sensor" for respiratory bacteria, binding to them in a way that triggers antimicrobial signaling </w:t>
      </w:r>
      <w:r w:rsidRPr="00F056CA">
        <w:lastRenderedPageBreak/>
        <w:t>rather than a full antibody response. Its preservation over 500 million years implies a critical regulatory role that we are only just beginning to understand.</w:t>
      </w:r>
    </w:p>
    <w:p w14:paraId="468A083E" w14:textId="77777777" w:rsidR="00F056CA" w:rsidRPr="00AE6B2F" w:rsidRDefault="00F056CA" w:rsidP="00AE6B2F"/>
    <w:p w14:paraId="2B30327C" w14:textId="77777777" w:rsidR="00AE6B2F" w:rsidRPr="00AE6B2F" w:rsidRDefault="00AE6B2F" w:rsidP="00AE6B2F">
      <w:pPr>
        <w:rPr>
          <w:b/>
          <w:bCs/>
        </w:rPr>
      </w:pPr>
      <w:r w:rsidRPr="00AE6B2F">
        <w:rPr>
          <w:b/>
          <w:bCs/>
        </w:rPr>
        <w:t>Conclusion: The Future of Immunological Engineering</w:t>
      </w:r>
    </w:p>
    <w:p w14:paraId="730D85C7" w14:textId="77777777" w:rsidR="00AE6B2F" w:rsidRPr="00AE6B2F" w:rsidRDefault="00AE6B2F" w:rsidP="00AE6B2F">
      <w:r w:rsidRPr="00AE6B2F">
        <w:t xml:space="preserve">The study of immune receptor evolution is not merely an exercise in phylogenetics; it is a blueprint for modern therapeutics. The discovery of the shark's heavy-chain-only antibodies has directly led to the development of </w:t>
      </w:r>
      <w:r w:rsidRPr="00AE6B2F">
        <w:rPr>
          <w:b/>
          <w:bCs/>
        </w:rPr>
        <w:t>Nanobodies</w:t>
      </w:r>
      <w:r w:rsidRPr="00AE6B2F">
        <w:t>—single-domain therapies that can cross the blood-brain barrier to treat Alzheimer's or penetrate dense solid tumors. Similarly, the "copy-choice" mechanism of lampreys is currently being adapted for synthetic biology applications, creating libraries of binding proteins that are not limited by the structural constraints of the immunoglobulin fold.</w:t>
      </w:r>
    </w:p>
    <w:p w14:paraId="68D20F1D" w14:textId="77777777" w:rsidR="00AE6B2F" w:rsidRPr="00AE6B2F" w:rsidRDefault="00AE6B2F" w:rsidP="00AE6B2F">
      <w:r w:rsidRPr="00AE6B2F">
        <w:t>Ultimately, the history of the immune receptor reveals that biology is opportunistic. Whether through the co-option of cell adhesion molecules, the domestication of viral transposons, or the convergent engineering of completely different protein scaffolds, life has repeatedly found ways to solve the problem of recognition. As we move into the era of immunotherapy, we are no longer limited to the tools found in the human genome; we can now reach back 500 million years to borrow the alternative solutions nature invented in the deep ocean.</w:t>
      </w:r>
    </w:p>
    <w:p w14:paraId="5D9AB40F" w14:textId="77777777" w:rsidR="00AE6B2F" w:rsidRPr="00AE6B2F" w:rsidRDefault="00AE6B2F" w:rsidP="00AE6B2F">
      <w:pPr>
        <w:rPr>
          <w:b/>
          <w:bCs/>
        </w:rPr>
      </w:pPr>
      <w:r w:rsidRPr="00AE6B2F">
        <w:rPr>
          <w:b/>
          <w:bCs/>
        </w:rPr>
        <w:t>References</w:t>
      </w:r>
    </w:p>
    <w:p w14:paraId="12FA8C34" w14:textId="77777777" w:rsidR="00AE6B2F" w:rsidRPr="00AE6B2F" w:rsidRDefault="00AE6B2F" w:rsidP="00AE6B2F">
      <w:pPr>
        <w:numPr>
          <w:ilvl w:val="0"/>
          <w:numId w:val="1"/>
        </w:numPr>
      </w:pPr>
      <w:r w:rsidRPr="00AE6B2F">
        <w:rPr>
          <w:b/>
          <w:bCs/>
        </w:rPr>
        <w:t>Litman, G. W., Rast, J. P., &amp; Fugmann, S. D.</w:t>
      </w:r>
      <w:r w:rsidRPr="00AE6B2F">
        <w:t xml:space="preserve"> (2010). The origins of vertebrate adaptive immunity. </w:t>
      </w:r>
      <w:r w:rsidRPr="00AE6B2F">
        <w:rPr>
          <w:i/>
          <w:iCs/>
        </w:rPr>
        <w:t>Nature Reviews Immunology</w:t>
      </w:r>
      <w:r w:rsidRPr="00AE6B2F">
        <w:t>, 10(8), 543-553.</w:t>
      </w:r>
    </w:p>
    <w:p w14:paraId="30E157D2" w14:textId="77777777" w:rsidR="00AE6B2F" w:rsidRPr="00AE6B2F" w:rsidRDefault="00AE6B2F" w:rsidP="00AE6B2F">
      <w:pPr>
        <w:numPr>
          <w:ilvl w:val="0"/>
          <w:numId w:val="1"/>
        </w:numPr>
      </w:pPr>
      <w:r w:rsidRPr="00AE6B2F">
        <w:rPr>
          <w:b/>
          <w:bCs/>
        </w:rPr>
        <w:t>Boehm, T., et al.</w:t>
      </w:r>
      <w:r w:rsidRPr="00AE6B2F">
        <w:t xml:space="preserve"> (2012). VLR-based adaptive immunity. </w:t>
      </w:r>
      <w:r w:rsidRPr="00AE6B2F">
        <w:rPr>
          <w:i/>
          <w:iCs/>
        </w:rPr>
        <w:t>Annual Review of Immunology</w:t>
      </w:r>
      <w:r w:rsidRPr="00AE6B2F">
        <w:t>, 30, 203-220.</w:t>
      </w:r>
    </w:p>
    <w:p w14:paraId="4FF2DE37" w14:textId="77777777" w:rsidR="00AE6B2F" w:rsidRPr="00AE6B2F" w:rsidRDefault="00AE6B2F" w:rsidP="00AE6B2F">
      <w:pPr>
        <w:numPr>
          <w:ilvl w:val="0"/>
          <w:numId w:val="1"/>
        </w:numPr>
      </w:pPr>
      <w:r w:rsidRPr="00AE6B2F">
        <w:rPr>
          <w:b/>
          <w:bCs/>
        </w:rPr>
        <w:t>Flajnik, M. F.</w:t>
      </w:r>
      <w:r w:rsidRPr="00AE6B2F">
        <w:t xml:space="preserve"> (2018). A cold-blooded view of adaptive immunity. </w:t>
      </w:r>
      <w:r w:rsidRPr="00AE6B2F">
        <w:rPr>
          <w:i/>
          <w:iCs/>
        </w:rPr>
        <w:t>Nature Reviews Immunology</w:t>
      </w:r>
      <w:r w:rsidRPr="00AE6B2F">
        <w:t>, 18(7), 438-453.</w:t>
      </w:r>
    </w:p>
    <w:p w14:paraId="3343D666" w14:textId="77777777" w:rsidR="00AE6B2F" w:rsidRPr="00AE6B2F" w:rsidRDefault="00AE6B2F" w:rsidP="00AE6B2F">
      <w:pPr>
        <w:numPr>
          <w:ilvl w:val="0"/>
          <w:numId w:val="1"/>
        </w:numPr>
      </w:pPr>
      <w:r w:rsidRPr="00AE6B2F">
        <w:rPr>
          <w:b/>
          <w:bCs/>
          <w:lang w:val="fr-FR"/>
        </w:rPr>
        <w:t>Schatz, D. G., &amp; Ji, Y.</w:t>
      </w:r>
      <w:r w:rsidRPr="00AE6B2F">
        <w:rPr>
          <w:lang w:val="fr-FR"/>
        </w:rPr>
        <w:t xml:space="preserve"> (2011). </w:t>
      </w:r>
      <w:r w:rsidRPr="00AE6B2F">
        <w:t xml:space="preserve">Recombination centers and the orchestration of V(D)J recombination. </w:t>
      </w:r>
      <w:r w:rsidRPr="00AE6B2F">
        <w:rPr>
          <w:i/>
          <w:iCs/>
        </w:rPr>
        <w:t>Nature Reviews Immunology</w:t>
      </w:r>
      <w:r w:rsidRPr="00AE6B2F">
        <w:t>, 11(4), 251-263.</w:t>
      </w:r>
    </w:p>
    <w:p w14:paraId="4C84C88B" w14:textId="77777777" w:rsidR="00AE6B2F" w:rsidRPr="00AE6B2F" w:rsidRDefault="00AE6B2F" w:rsidP="00AE6B2F">
      <w:pPr>
        <w:numPr>
          <w:ilvl w:val="0"/>
          <w:numId w:val="1"/>
        </w:numPr>
      </w:pPr>
      <w:r w:rsidRPr="00AE6B2F">
        <w:rPr>
          <w:b/>
          <w:bCs/>
        </w:rPr>
        <w:t>Hirano, M., et al.</w:t>
      </w:r>
      <w:r w:rsidRPr="00AE6B2F">
        <w:t xml:space="preserve"> (2011). Evolutionary implications of a single-gene V(D)J recombination system. </w:t>
      </w:r>
      <w:r w:rsidRPr="00AE6B2F">
        <w:rPr>
          <w:i/>
          <w:iCs/>
        </w:rPr>
        <w:t>Trends in Immunology</w:t>
      </w:r>
      <w:r w:rsidRPr="00AE6B2F">
        <w:t>, 32(10), 454-461.</w:t>
      </w:r>
    </w:p>
    <w:p w14:paraId="1D0E4CE6" w14:textId="77777777" w:rsidR="00AE6B2F" w:rsidRPr="00AE6B2F" w:rsidRDefault="00AE6B2F" w:rsidP="00AE6B2F">
      <w:pPr>
        <w:numPr>
          <w:ilvl w:val="0"/>
          <w:numId w:val="1"/>
        </w:numPr>
      </w:pPr>
      <w:r w:rsidRPr="00AE6B2F">
        <w:rPr>
          <w:b/>
          <w:bCs/>
        </w:rPr>
        <w:t>Zielinski, M., et al.</w:t>
      </w:r>
      <w:r w:rsidRPr="00AE6B2F">
        <w:t xml:space="preserve"> (2019). The structural basis of nanobody efficacy. </w:t>
      </w:r>
      <w:r w:rsidRPr="00AE6B2F">
        <w:rPr>
          <w:i/>
          <w:iCs/>
        </w:rPr>
        <w:t>Current Opinion in Structural Biology</w:t>
      </w:r>
      <w:r w:rsidRPr="00AE6B2F">
        <w:t>, 56, 12-19.</w:t>
      </w:r>
    </w:p>
    <w:p w14:paraId="344F1840" w14:textId="77777777" w:rsidR="00C43975" w:rsidRDefault="00C43975"/>
    <w:sectPr w:rsidR="00C43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10D"/>
    <w:multiLevelType w:val="multilevel"/>
    <w:tmpl w:val="A60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E4F59"/>
    <w:multiLevelType w:val="multilevel"/>
    <w:tmpl w:val="814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D2B6B"/>
    <w:multiLevelType w:val="multilevel"/>
    <w:tmpl w:val="AF7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1417A"/>
    <w:multiLevelType w:val="multilevel"/>
    <w:tmpl w:val="2B96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75472"/>
    <w:multiLevelType w:val="multilevel"/>
    <w:tmpl w:val="BEBA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C3AC4"/>
    <w:multiLevelType w:val="multilevel"/>
    <w:tmpl w:val="8280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508915">
    <w:abstractNumId w:val="4"/>
  </w:num>
  <w:num w:numId="2" w16cid:durableId="2041857673">
    <w:abstractNumId w:val="3"/>
  </w:num>
  <w:num w:numId="3" w16cid:durableId="241720177">
    <w:abstractNumId w:val="2"/>
  </w:num>
  <w:num w:numId="4" w16cid:durableId="1601377944">
    <w:abstractNumId w:val="5"/>
  </w:num>
  <w:num w:numId="5" w16cid:durableId="1812289265">
    <w:abstractNumId w:val="0"/>
  </w:num>
  <w:num w:numId="6" w16cid:durableId="534925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B2F"/>
    <w:rsid w:val="000D5817"/>
    <w:rsid w:val="0011325F"/>
    <w:rsid w:val="00524AEE"/>
    <w:rsid w:val="005304E2"/>
    <w:rsid w:val="005B7AE2"/>
    <w:rsid w:val="00704C5E"/>
    <w:rsid w:val="008B0455"/>
    <w:rsid w:val="009165A0"/>
    <w:rsid w:val="00A128F9"/>
    <w:rsid w:val="00AE6B2F"/>
    <w:rsid w:val="00C17DD6"/>
    <w:rsid w:val="00C43975"/>
    <w:rsid w:val="00CB4E9B"/>
    <w:rsid w:val="00D01170"/>
    <w:rsid w:val="00D01C2E"/>
    <w:rsid w:val="00EA580D"/>
    <w:rsid w:val="00F05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BF69"/>
  <w15:chartTrackingRefBased/>
  <w15:docId w15:val="{544189E3-0D71-4EE6-BFAB-33531C97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B2F"/>
    <w:rPr>
      <w:rFonts w:eastAsiaTheme="majorEastAsia" w:cstheme="majorBidi"/>
      <w:color w:val="272727" w:themeColor="text1" w:themeTint="D8"/>
    </w:rPr>
  </w:style>
  <w:style w:type="paragraph" w:styleId="Title">
    <w:name w:val="Title"/>
    <w:basedOn w:val="Normal"/>
    <w:next w:val="Normal"/>
    <w:link w:val="TitleChar"/>
    <w:uiPriority w:val="10"/>
    <w:qFormat/>
    <w:rsid w:val="00AE6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B2F"/>
    <w:pPr>
      <w:spacing w:before="160"/>
      <w:jc w:val="center"/>
    </w:pPr>
    <w:rPr>
      <w:i/>
      <w:iCs/>
      <w:color w:val="404040" w:themeColor="text1" w:themeTint="BF"/>
    </w:rPr>
  </w:style>
  <w:style w:type="character" w:customStyle="1" w:styleId="QuoteChar">
    <w:name w:val="Quote Char"/>
    <w:basedOn w:val="DefaultParagraphFont"/>
    <w:link w:val="Quote"/>
    <w:uiPriority w:val="29"/>
    <w:rsid w:val="00AE6B2F"/>
    <w:rPr>
      <w:i/>
      <w:iCs/>
      <w:color w:val="404040" w:themeColor="text1" w:themeTint="BF"/>
    </w:rPr>
  </w:style>
  <w:style w:type="paragraph" w:styleId="ListParagraph">
    <w:name w:val="List Paragraph"/>
    <w:basedOn w:val="Normal"/>
    <w:uiPriority w:val="34"/>
    <w:qFormat/>
    <w:rsid w:val="00AE6B2F"/>
    <w:pPr>
      <w:ind w:left="720"/>
      <w:contextualSpacing/>
    </w:pPr>
  </w:style>
  <w:style w:type="character" w:styleId="IntenseEmphasis">
    <w:name w:val="Intense Emphasis"/>
    <w:basedOn w:val="DefaultParagraphFont"/>
    <w:uiPriority w:val="21"/>
    <w:qFormat/>
    <w:rsid w:val="00AE6B2F"/>
    <w:rPr>
      <w:i/>
      <w:iCs/>
      <w:color w:val="0F4761" w:themeColor="accent1" w:themeShade="BF"/>
    </w:rPr>
  </w:style>
  <w:style w:type="paragraph" w:styleId="IntenseQuote">
    <w:name w:val="Intense Quote"/>
    <w:basedOn w:val="Normal"/>
    <w:next w:val="Normal"/>
    <w:link w:val="IntenseQuoteChar"/>
    <w:uiPriority w:val="30"/>
    <w:qFormat/>
    <w:rsid w:val="00AE6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B2F"/>
    <w:rPr>
      <w:i/>
      <w:iCs/>
      <w:color w:val="0F4761" w:themeColor="accent1" w:themeShade="BF"/>
    </w:rPr>
  </w:style>
  <w:style w:type="character" w:styleId="IntenseReference">
    <w:name w:val="Intense Reference"/>
    <w:basedOn w:val="DefaultParagraphFont"/>
    <w:uiPriority w:val="32"/>
    <w:qFormat/>
    <w:rsid w:val="00AE6B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28e349f-c68d-46ce-94ba-6d0e8d23db64}" enabled="1" method="Standard" siteId="{7b7466bb-fe1d-47a0-b943-8ded565c8e54}"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7</Pages>
  <Words>2390</Words>
  <Characters>13990</Characters>
  <Application>Microsoft Office Word</Application>
  <DocSecurity>0</DocSecurity>
  <Lines>229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Loman</dc:creator>
  <cp:keywords/>
  <dc:description/>
  <cp:lastModifiedBy>Om Sanan</cp:lastModifiedBy>
  <cp:revision>3</cp:revision>
  <dcterms:created xsi:type="dcterms:W3CDTF">2026-02-08T21:00:00Z</dcterms:created>
  <dcterms:modified xsi:type="dcterms:W3CDTF">2026-02-09T04:41:00Z</dcterms:modified>
</cp:coreProperties>
</file>