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6279" w14:textId="77777777" w:rsidR="00A048CA" w:rsidRDefault="001E007D">
      <w:pPr>
        <w:spacing w:before="180" w:after="80"/>
        <w:jc w:val="center"/>
      </w:pPr>
      <w:r>
        <w:rPr>
          <w:b/>
          <w:bCs/>
          <w:color w:val="0D1B2A"/>
          <w:sz w:val="36"/>
          <w:szCs w:val="36"/>
        </w:rPr>
        <w:t>CD8⁺ T Cell Fate Decisions in Infection and Cancer: Effector Commitment,</w:t>
      </w:r>
    </w:p>
    <w:p w14:paraId="2ED4627A" w14:textId="77777777" w:rsidR="00A048CA" w:rsidRDefault="001E007D">
      <w:pPr>
        <w:spacing w:after="200"/>
        <w:jc w:val="center"/>
      </w:pPr>
      <w:r>
        <w:rPr>
          <w:b/>
          <w:bCs/>
          <w:color w:val="0D1B2A"/>
          <w:sz w:val="36"/>
          <w:szCs w:val="36"/>
        </w:rPr>
        <w:t>Memory Maintenance, and the Problem of Exhaustion</w:t>
      </w:r>
    </w:p>
    <w:p w14:paraId="2ED4627B" w14:textId="77777777" w:rsidR="00A048CA" w:rsidRDefault="00A048CA">
      <w:pPr>
        <w:pBdr>
          <w:bottom w:val="single" w:sz="4" w:space="1" w:color="1B3A5C"/>
        </w:pBdr>
        <w:spacing w:before="80" w:after="80"/>
      </w:pPr>
    </w:p>
    <w:p w14:paraId="2ED4627D" w14:textId="77777777" w:rsidR="00A048CA" w:rsidRDefault="001E007D">
      <w:pPr>
        <w:spacing w:after="80"/>
        <w:jc w:val="center"/>
      </w:pPr>
      <w:r>
        <w:rPr>
          <w:b/>
          <w:bCs/>
          <w:color w:val="607D8B"/>
          <w:sz w:val="20"/>
          <w:szCs w:val="20"/>
        </w:rPr>
        <w:t xml:space="preserve">Keywords: </w:t>
      </w:r>
      <w:r>
        <w:rPr>
          <w:i/>
          <w:iCs/>
          <w:color w:val="607D8B"/>
          <w:sz w:val="20"/>
          <w:szCs w:val="20"/>
        </w:rPr>
        <w:t>CD8⁺ T lymphocytes · effector differentiation · T cell memory · exhaustion · checkpoint blockade · TCR affinity · CD4 help</w:t>
      </w:r>
    </w:p>
    <w:p w14:paraId="2ED4627E" w14:textId="77777777" w:rsidR="00A048CA" w:rsidRDefault="00A048CA">
      <w:pPr>
        <w:pBdr>
          <w:bottom w:val="single" w:sz="4" w:space="1" w:color="1B3A5C"/>
        </w:pBdr>
        <w:spacing w:before="80" w:after="80"/>
      </w:pPr>
    </w:p>
    <w:p w14:paraId="2ED4627F" w14:textId="77777777" w:rsidR="00A048CA" w:rsidRDefault="00A048CA">
      <w:pPr>
        <w:spacing w:after="160"/>
      </w:pPr>
    </w:p>
    <w:p w14:paraId="2ED46280" w14:textId="77777777" w:rsidR="00A048CA" w:rsidRDefault="001E007D">
      <w:pPr>
        <w:pStyle w:val="Heading1"/>
      </w:pPr>
      <w:r>
        <w:t>Abstract</w:t>
      </w:r>
    </w:p>
    <w:p w14:paraId="2ED46281" w14:textId="77777777" w:rsidR="00A048CA" w:rsidRDefault="001E007D">
      <w:pPr>
        <w:spacing w:after="200"/>
        <w:jc w:val="both"/>
      </w:pPr>
      <w:r>
        <w:t>Antigen recognition by a naive CD8</w:t>
      </w:r>
      <w:r>
        <w:rPr>
          <w:sz w:val="17"/>
          <w:szCs w:val="17"/>
          <w:vertAlign w:val="superscript"/>
        </w:rPr>
        <w:t>+</w:t>
      </w:r>
      <w:r>
        <w:t xml:space="preserve"> T cell triggers one of three broadly distinct developmental trajectories: rapid commitment to cytotoxic effector function, entry into a long-lived memory pool, or—under conditions of persistent stimulation—a state of progressive functional exhaustion. Which of these outcomes prevails is determined by the integrated strength of TCR engagement, the availability of co-stimulation through CD28, and the cytokine milieu present at the time of priming. These inputs converge on competing transcriptional programme</w:t>
      </w:r>
      <w:r>
        <w:t>s centred on T-bet, FOXO1, TCF-1, and TOX, whose relative activities specify both the immediate phenotype of the responding cell and the epigenetic state it will carry forward. A fourth determinant, often underweighted in discussions of CD8</w:t>
      </w:r>
      <w:r>
        <w:rPr>
          <w:sz w:val="17"/>
          <w:szCs w:val="17"/>
          <w:vertAlign w:val="superscript"/>
        </w:rPr>
        <w:t>+</w:t>
      </w:r>
      <w:r>
        <w:t xml:space="preserve"> biology, is whether CD4</w:t>
      </w:r>
      <w:r>
        <w:rPr>
          <w:sz w:val="17"/>
          <w:szCs w:val="17"/>
          <w:vertAlign w:val="superscript"/>
        </w:rPr>
        <w:t>+</w:t>
      </w:r>
      <w:r>
        <w:t xml:space="preserve"> T helper activity is available to license dendritic cells and supply paracrine IL-2; without it, even a well-stimulated CD8</w:t>
      </w:r>
      <w:r>
        <w:rPr>
          <w:sz w:val="17"/>
          <w:szCs w:val="17"/>
          <w:vertAlign w:val="superscript"/>
        </w:rPr>
        <w:t>+</w:t>
      </w:r>
      <w:r>
        <w:t xml:space="preserve"> response tends to deteriorate on rechallenge. One of the more counterintuitive properties of the system is that the memo</w:t>
      </w:r>
      <w:r>
        <w:t>ry compartment is populated preferentially by clones bearing lower-affinity TCRs—a phenomenon best understood not as a defect but as a systems-level solution to the problems of repertoire breadth, cross-reactivity, and avoidance of activation-induced cell death. In oncology, these principles intersect with the immunosuppressive character of the tumour microenvironment, in which chronic antigen exposure and Treg-mediated cytokine depletion conspire to drive tumour-infiltrating CD8</w:t>
      </w:r>
      <w:r>
        <w:rPr>
          <w:sz w:val="17"/>
          <w:szCs w:val="17"/>
          <w:vertAlign w:val="superscript"/>
        </w:rPr>
        <w:t>+</w:t>
      </w:r>
      <w:r>
        <w:t xml:space="preserve"> T cells toward exhaustion.</w:t>
      </w:r>
      <w:r>
        <w:t xml:space="preserve"> Checkpoint immunotherapy works by partially reversing this state, but its efficacy is contingent on the survival of a TCF-1</w:t>
      </w:r>
      <w:r>
        <w:rPr>
          <w:sz w:val="17"/>
          <w:szCs w:val="17"/>
          <w:vertAlign w:val="superscript"/>
        </w:rPr>
        <w:t>+</w:t>
      </w:r>
      <w:r>
        <w:t xml:space="preserve"> progenitor exhausted subset that retains proliferative potential. Understanding the molecular logic of each of these fate decisions is not merely a conceptual exercise—it has direct bearing on how vaccines, adoptive cell therapies, and combination checkpoint regimens should be designed.</w:t>
      </w:r>
    </w:p>
    <w:p w14:paraId="2ED46282" w14:textId="77777777" w:rsidR="00A048CA" w:rsidRDefault="00A048CA">
      <w:pPr>
        <w:spacing w:after="140"/>
      </w:pPr>
    </w:p>
    <w:p w14:paraId="2ED46283" w14:textId="77777777" w:rsidR="00A048CA" w:rsidRDefault="001E007D">
      <w:pPr>
        <w:pStyle w:val="Heading1"/>
      </w:pPr>
      <w:r>
        <w:t>1. Introduction</w:t>
      </w:r>
    </w:p>
    <w:p w14:paraId="2ED46284" w14:textId="77777777" w:rsidR="00A048CA" w:rsidRDefault="001E007D">
      <w:pPr>
        <w:spacing w:after="200"/>
        <w:jc w:val="both"/>
      </w:pPr>
      <w:r>
        <w:t>It has been clear for some time that the presence of T cells within a tumour does not reliably predict whether those T cells are doing anything useful. Tumours in human patients—ovarian cancer being an early and well-documented example—are often extensively infiltrated by CD8</w:t>
      </w:r>
      <w:r>
        <w:rPr>
          <w:sz w:val="17"/>
          <w:szCs w:val="17"/>
          <w:vertAlign w:val="superscript"/>
        </w:rPr>
        <w:t>+</w:t>
      </w:r>
      <w:r>
        <w:t xml:space="preserve"> lymphocytes that recognise tumour-associated antigens, yet the same tumours continue to grow.</w:t>
      </w:r>
      <w:r>
        <w:rPr>
          <w:sz w:val="17"/>
          <w:szCs w:val="17"/>
          <w:vertAlign w:val="superscript"/>
        </w:rPr>
        <w:t>1</w:t>
      </w:r>
      <w:r>
        <w:t xml:space="preserve"> That paradox, which initially struck many immunologists as puzzling, is now understood to reflect the biology of T cell exhaustion: a differentiaton state, distinct from both activation and anergy, in which cells retain surface markers of antigen experience but have lost the effector functions that would make them dangerous to a tumour cell.</w:t>
      </w:r>
    </w:p>
    <w:p w14:paraId="2ED46285" w14:textId="77777777" w:rsidR="00A048CA" w:rsidRDefault="001E007D">
      <w:pPr>
        <w:spacing w:after="200"/>
        <w:jc w:val="both"/>
      </w:pPr>
      <w:r>
        <w:lastRenderedPageBreak/>
        <w:t>The phenomenology of exhaustion was described before anyone appreciated its relevance to cancer. Working with the chronic clone 13 strain of LCMV in 1998, Zajac and colleagues observed that virus-specific CD8⁺ T cells persisted in infected mice but had become functionally inert. The cells were there; they simply had stopped working. At the time, this was viewed primarily as a curiosity of persistent viral infection. The subsequent recognition that solid tumours create a functionally similar environment—pers</w:t>
      </w:r>
      <w:r>
        <w:t>istent antigen, suppressive cytokines, inhibitory ligands—transformed exhaustion research into one of the central preoccupations of tumour immunology.</w:t>
      </w:r>
    </w:p>
    <w:p w14:paraId="2ED46286" w14:textId="77777777" w:rsidR="00A048CA" w:rsidRDefault="001E007D">
      <w:pPr>
        <w:spacing w:after="200"/>
        <w:jc w:val="both"/>
      </w:pPr>
      <w:r>
        <w:t>This review works through the biology of CD8</w:t>
      </w:r>
      <w:r>
        <w:rPr>
          <w:sz w:val="17"/>
          <w:szCs w:val="17"/>
          <w:vertAlign w:val="superscript"/>
        </w:rPr>
        <w:t>+</w:t>
      </w:r>
      <w:r>
        <w:t xml:space="preserve"> T cell fate decisions in a way that is organised around the key questions: what the three possible fates are, what conditions at the time of priming determine which one prevails, how CD4</w:t>
      </w:r>
      <w:r>
        <w:rPr>
          <w:sz w:val="17"/>
          <w:szCs w:val="17"/>
          <w:vertAlign w:val="superscript"/>
        </w:rPr>
        <w:t>+</w:t>
      </w:r>
      <w:r>
        <w:t xml:space="preserve"> T helper cells shape that outcome, and why weaker binders end up forming most of the long-lived memory pool. We close with a discussion of what these principles mean for checkpoint blockade and for the design of cancer vaccines.</w:t>
      </w:r>
    </w:p>
    <w:p w14:paraId="2ED46287" w14:textId="77777777" w:rsidR="00A048CA" w:rsidRDefault="00A048CA">
      <w:pPr>
        <w:spacing w:after="80"/>
      </w:pPr>
    </w:p>
    <w:p w14:paraId="2ED46288" w14:textId="77777777" w:rsidR="00A048CA" w:rsidRDefault="001E007D">
      <w:pPr>
        <w:pStyle w:val="Heading1"/>
      </w:pPr>
      <w:r>
        <w:t>2. The Three Principal Fates</w:t>
      </w:r>
    </w:p>
    <w:p w14:paraId="2ED46289" w14:textId="77777777" w:rsidR="00A048CA" w:rsidRDefault="001E007D">
      <w:pPr>
        <w:pStyle w:val="Heading2"/>
      </w:pPr>
      <w:r>
        <w:t>2.1  Short-lived effector cells</w:t>
      </w:r>
    </w:p>
    <w:p w14:paraId="2ED4628A" w14:textId="77777777" w:rsidR="00A048CA" w:rsidRDefault="001E007D">
      <w:pPr>
        <w:spacing w:after="200"/>
        <w:jc w:val="both"/>
      </w:pPr>
      <w:r>
        <w:t>The most immediately recognisable outcome of CD8</w:t>
      </w:r>
      <w:r>
        <w:rPr>
          <w:sz w:val="17"/>
          <w:szCs w:val="17"/>
          <w:vertAlign w:val="superscript"/>
        </w:rPr>
        <w:t>+</w:t>
      </w:r>
      <w:r>
        <w:t xml:space="preserve"> T cell activation is commitment to cytotoxic effector function. Clonal expansion is substantial—reliable estimates from murine infection models put peak expansion at somewhere between 1,000- and 10,000-fold over the first week, depending on antigen burden and the robustness of inflammatory signals.</w:t>
      </w:r>
      <w:r>
        <w:rPr>
          <w:sz w:val="17"/>
          <w:szCs w:val="17"/>
          <w:vertAlign w:val="superscript"/>
        </w:rPr>
        <w:t>2</w:t>
      </w:r>
      <w:r>
        <w:t xml:space="preserve"> At their peak, these cells carry pre-loaded cytoplasmic granules containing perforin and granzymes A and B, and they secrete IFN-γ and TNF-α rapidly upon target cell contact. The transcriptional architecture of this programme is built around T-bet (Tbx21), whose expression is driven by IL-12–STAT4 signalling and amplified by strong mTORC1 activity. T-bet in turn drives expression of the cytotoxic machinery and suppresses genes associated with memory formation.</w:t>
      </w:r>
      <w:r>
        <w:rPr>
          <w:sz w:val="17"/>
          <w:szCs w:val="17"/>
          <w:vertAlign w:val="superscript"/>
        </w:rPr>
        <w:t>3</w:t>
      </w:r>
    </w:p>
    <w:p w14:paraId="2ED4628B" w14:textId="77777777" w:rsidR="00A048CA" w:rsidRDefault="001E007D">
      <w:pPr>
        <w:spacing w:after="200"/>
        <w:jc w:val="both"/>
      </w:pPr>
      <w:r>
        <w:t>Metabolically, these cells are committed to aerobic glycolysis—it gives them the ATP and biosynthetic capacity to sustain rapid proliferation and large-scale cytokine production. But this metabolic posture is not suited to long-term survival. When antigen clears, the vast majority of the expanded clone undergoes Bim-mediated apoptosis over a contraction phase lasting roughly one to two weeks; estimates from adoptive transfer experiments consistently suggest that 90–95% of peak effectors are lost at this sta</w:t>
      </w:r>
      <w:r>
        <w:t>ge.</w:t>
      </w:r>
      <w:r>
        <w:rPr>
          <w:sz w:val="17"/>
          <w:szCs w:val="17"/>
          <w:vertAlign w:val="superscript"/>
        </w:rPr>
        <w:t>3</w:t>
      </w:r>
      <w:r>
        <w:t xml:space="preserve"> The small fraction that survive go on to seed the memory pool, and they do so by virtue of having adopted a somewhat different transcriptional state from the outset.</w:t>
      </w:r>
    </w:p>
    <w:p w14:paraId="2ED4628C" w14:textId="77777777" w:rsidR="00A048CA" w:rsidRDefault="001E007D">
      <w:pPr>
        <w:pStyle w:val="Heading2"/>
      </w:pPr>
      <w:r>
        <w:t>2.2  Long-lived memory cells</w:t>
      </w:r>
    </w:p>
    <w:p w14:paraId="2ED4628D" w14:textId="77777777" w:rsidR="00A048CA" w:rsidRDefault="001E007D">
      <w:pPr>
        <w:spacing w:after="200"/>
        <w:jc w:val="both"/>
      </w:pPr>
      <w:r>
        <w:t>Memory CD8</w:t>
      </w:r>
      <w:r>
        <w:rPr>
          <w:sz w:val="17"/>
          <w:szCs w:val="17"/>
          <w:vertAlign w:val="superscript"/>
        </w:rPr>
        <w:t>+</w:t>
      </w:r>
      <w:r>
        <w:t xml:space="preserve"> T cells are defined principally by three properties: longevity independent of antigen, the capacity to self-renew through homeostatic proliferation driven by IL-7 and IL-15, and the ability to mount faster and larger secondary responses than naive cells upon rechallenge.</w:t>
      </w:r>
      <w:r>
        <w:rPr>
          <w:sz w:val="17"/>
          <w:szCs w:val="17"/>
          <w:vertAlign w:val="superscript"/>
        </w:rPr>
        <w:t>4</w:t>
      </w:r>
      <w:r>
        <w:t xml:space="preserve"> These properties are grounded in a distinct transcriptional programme. TCF-1, encoded by </w:t>
      </w:r>
      <w:r>
        <w:rPr>
          <w:i/>
          <w:iCs/>
        </w:rPr>
        <w:t>Tcf7</w:t>
      </w:r>
      <w:r>
        <w:t>, is the linchpin of memory specification—it is expressed at high levels in memory precursor effector cells (MPECs) early in the response and is</w:t>
      </w:r>
      <w:r>
        <w:t xml:space="preserve"> required both for the initial differentiation of those precursors and for the long-term maintenance of the compartment.</w:t>
      </w:r>
      <w:r>
        <w:rPr>
          <w:sz w:val="17"/>
          <w:szCs w:val="17"/>
          <w:vertAlign w:val="superscript"/>
        </w:rPr>
        <w:t>4</w:t>
      </w:r>
      <w:r>
        <w:t xml:space="preserve"> TCF-1 works partly by sustaining expression of the IL-7 receptor α chain (CD127), and partly through transcriptional effects that keep the chromatin at effector loci in a less fully committed, more reversible state.</w:t>
      </w:r>
    </w:p>
    <w:p w14:paraId="2ED4628E" w14:textId="77777777" w:rsidR="00A048CA" w:rsidRDefault="001E007D">
      <w:pPr>
        <w:spacing w:after="200"/>
        <w:jc w:val="both"/>
      </w:pPr>
      <w:r>
        <w:t xml:space="preserve">FOXO1 sits upstream of much of this memory programme. When mTOR activity is low, FOXO1 remains nuclear and promotes </w:t>
      </w:r>
      <w:r>
        <w:rPr>
          <w:i/>
          <w:iCs/>
        </w:rPr>
        <w:t>Il7r</w:t>
      </w:r>
      <w:r>
        <w:t xml:space="preserve">, </w:t>
      </w:r>
      <w:r>
        <w:rPr>
          <w:i/>
          <w:iCs/>
        </w:rPr>
        <w:t>Tcf7</w:t>
      </w:r>
      <w:r>
        <w:t xml:space="preserve">, and </w:t>
      </w:r>
      <w:r>
        <w:rPr>
          <w:i/>
          <w:iCs/>
        </w:rPr>
        <w:t>Bcl2</w:t>
      </w:r>
      <w:r>
        <w:t xml:space="preserve"> expression. When mTOR is strongly activated by </w:t>
      </w:r>
      <w:r>
        <w:lastRenderedPageBreak/>
        <w:t>PI3K–Akt signalling downstream of robust TCR engagement, FOXO1 is phosphorylated and exported from the nucleus, removing this memory-permissive state. This is one of the cleaner examples of signal strength directly dictating fate outcome through a defined biochemical mechanism.</w:t>
      </w:r>
    </w:p>
    <w:p w14:paraId="2ED4628F" w14:textId="77777777" w:rsidR="00A048CA" w:rsidRDefault="001E007D">
      <w:pPr>
        <w:spacing w:after="200"/>
        <w:jc w:val="both"/>
      </w:pPr>
      <w:r>
        <w:t>The memory pool itself is heterogeneous. Central memory cells (T</w:t>
      </w:r>
      <w:r>
        <w:rPr>
          <w:sz w:val="18"/>
          <w:szCs w:val="18"/>
          <w:vertAlign w:val="subscript"/>
        </w:rPr>
        <w:t>CM</w:t>
      </w:r>
      <w:r>
        <w:t>; CCR7</w:t>
      </w:r>
      <w:r>
        <w:rPr>
          <w:sz w:val="17"/>
          <w:szCs w:val="17"/>
          <w:vertAlign w:val="superscript"/>
        </w:rPr>
        <w:t>+</w:t>
      </w:r>
      <w:r>
        <w:t xml:space="preserve"> CD62L</w:t>
      </w:r>
      <w:r>
        <w:rPr>
          <w:sz w:val="17"/>
          <w:szCs w:val="17"/>
          <w:vertAlign w:val="superscript"/>
        </w:rPr>
        <w:t>+</w:t>
      </w:r>
      <w:r>
        <w:t>) circulate through secondary lymphoid organs and proliferate vigorously on antigen re-encounter but do not immediately kill; effector memory cells (T</w:t>
      </w:r>
      <w:r>
        <w:rPr>
          <w:sz w:val="18"/>
          <w:szCs w:val="18"/>
          <w:vertAlign w:val="subscript"/>
        </w:rPr>
        <w:t>EM</w:t>
      </w:r>
      <w:r>
        <w:t>; CCR7</w:t>
      </w:r>
      <w:r>
        <w:rPr>
          <w:sz w:val="17"/>
          <w:szCs w:val="17"/>
          <w:vertAlign w:val="superscript"/>
        </w:rPr>
        <w:t>−</w:t>
      </w:r>
      <w:r>
        <w:t>) are poised for more rapid effector function in the periphery but have shorter lifespans. Tissue-resident memory cells (T</w:t>
      </w:r>
      <w:r>
        <w:rPr>
          <w:sz w:val="18"/>
          <w:szCs w:val="18"/>
          <w:vertAlign w:val="subscript"/>
        </w:rPr>
        <w:t>RM</w:t>
      </w:r>
      <w:r>
        <w:t>) occupy barrier sites—lung, gut, skin, reproductive tract—and provide rapid local protection without requiring lymph node reactivation. The relative contribution of each subset to protective immunity is context-d</w:t>
      </w:r>
      <w:r>
        <w:t>ependent and remains an active area of study.</w:t>
      </w:r>
    </w:p>
    <w:p w14:paraId="2ED46290" w14:textId="77777777" w:rsidR="00A048CA" w:rsidRDefault="001E007D">
      <w:pPr>
        <w:pStyle w:val="Heading2"/>
      </w:pPr>
      <w:r>
        <w:t>2.3  Exhausted cells and their internal hierarchy</w:t>
      </w:r>
    </w:p>
    <w:p w14:paraId="2ED46291" w14:textId="77777777" w:rsidR="00A048CA" w:rsidRDefault="001E007D">
      <w:pPr>
        <w:spacing w:after="200"/>
        <w:jc w:val="both"/>
      </w:pPr>
      <w:r>
        <w:t>Exhaustion is sometimes described as if it were simply a severe form of activation, but this characterisation misses something important: it is a distinct differentiation state with its own transcriptional logic, its own epigenetic signature, and its own internal substructure.</w:t>
      </w:r>
      <w:r>
        <w:rPr>
          <w:sz w:val="17"/>
          <w:szCs w:val="17"/>
          <w:vertAlign w:val="superscript"/>
        </w:rPr>
        <w:t>5</w:t>
      </w:r>
      <w:r>
        <w:t xml:space="preserve"> The functional picture is of hierarchical deterioration—IL-2 production is lost first, then TNF-α secretion, and eventually IFN-γ and direct cytolytic activity. The surface phenotype includes sustained high-level expression of PD-1 along with progressive accumulation of TIM-3, LAG-3, TIGIT, and 2B4. These are not markers of recent activation that will resolve—they are maintained indefinitely by the transcriptional programme that drives the state.</w:t>
      </w:r>
    </w:p>
    <w:p w14:paraId="2ED46292" w14:textId="77777777" w:rsidR="00A048CA" w:rsidRDefault="001E007D">
      <w:pPr>
        <w:spacing w:after="200"/>
        <w:jc w:val="both"/>
      </w:pPr>
      <w:r>
        <w:t>TOX, an HMG-box transcription factor, is the best-characterised driver of this programme. It is induced by sustained NFAT activation—specifically, the pattern of NFAT activity that occurs during chronic TCR engagement in the absence of sufficient AP-1 co-stimulation.</w:t>
      </w:r>
      <w:r>
        <w:rPr>
          <w:sz w:val="17"/>
          <w:szCs w:val="17"/>
          <w:vertAlign w:val="superscript"/>
        </w:rPr>
        <w:t>6</w:t>
      </w:r>
      <w:r>
        <w:t xml:space="preserve"> Once TOX is expressed at high levels, it recruits chromatin-remodelling complexes that deposit repressive marks at effector gene loci and open exhaustion-associated regulatory regions. The resulting epigenetic landscape is largely self-sustaining; it persists even if antigen is removed and even, to a significant degree, after PD-1 blockade. This epigenetic stability is one of the main reasons why checkpoint therapy does not work in all patients.</w:t>
      </w:r>
      <w:r>
        <w:rPr>
          <w:sz w:val="17"/>
          <w:szCs w:val="17"/>
          <w:vertAlign w:val="superscript"/>
        </w:rPr>
        <w:t>7</w:t>
      </w:r>
    </w:p>
    <w:p w14:paraId="2ED46293" w14:textId="77777777" w:rsidR="00A048CA" w:rsidRDefault="001E007D">
      <w:pPr>
        <w:spacing w:after="200"/>
        <w:jc w:val="both"/>
      </w:pPr>
      <w:r>
        <w:t>Within the exhausted pool there is a functionally critical distinction between progenitor exhausted cells (T</w:t>
      </w:r>
      <w:r>
        <w:rPr>
          <w:sz w:val="18"/>
          <w:szCs w:val="18"/>
          <w:vertAlign w:val="subscript"/>
        </w:rPr>
        <w:t>EX</w:t>
      </w:r>
      <w:r>
        <w:rPr>
          <w:sz w:val="17"/>
          <w:szCs w:val="17"/>
          <w:vertAlign w:val="superscript"/>
        </w:rPr>
        <w:t>prog</w:t>
      </w:r>
      <w:r>
        <w:t>; TCF-1</w:t>
      </w:r>
      <w:r>
        <w:rPr>
          <w:sz w:val="17"/>
          <w:szCs w:val="17"/>
          <w:vertAlign w:val="superscript"/>
        </w:rPr>
        <w:t>+</w:t>
      </w:r>
      <w:r>
        <w:t xml:space="preserve"> PD-1</w:t>
      </w:r>
      <w:r>
        <w:rPr>
          <w:sz w:val="17"/>
          <w:szCs w:val="17"/>
          <w:vertAlign w:val="superscript"/>
        </w:rPr>
        <w:t>int</w:t>
      </w:r>
      <w:r>
        <w:t xml:space="preserve"> TOX</w:t>
      </w:r>
      <w:r>
        <w:rPr>
          <w:sz w:val="17"/>
          <w:szCs w:val="17"/>
          <w:vertAlign w:val="superscript"/>
        </w:rPr>
        <w:t>lo</w:t>
      </w:r>
      <w:r>
        <w:t>) and terminally exhausted cells (T</w:t>
      </w:r>
      <w:r>
        <w:rPr>
          <w:sz w:val="18"/>
          <w:szCs w:val="18"/>
          <w:vertAlign w:val="subscript"/>
        </w:rPr>
        <w:t>EX</w:t>
      </w:r>
      <w:r>
        <w:rPr>
          <w:sz w:val="17"/>
          <w:szCs w:val="17"/>
          <w:vertAlign w:val="superscript"/>
        </w:rPr>
        <w:t>term</w:t>
      </w:r>
      <w:r>
        <w:t>; TIM-3</w:t>
      </w:r>
      <w:r>
        <w:rPr>
          <w:sz w:val="17"/>
          <w:szCs w:val="17"/>
          <w:vertAlign w:val="superscript"/>
        </w:rPr>
        <w:t>hi</w:t>
      </w:r>
      <w:r>
        <w:t xml:space="preserve"> TOX</w:t>
      </w:r>
      <w:r>
        <w:rPr>
          <w:sz w:val="17"/>
          <w:szCs w:val="17"/>
          <w:vertAlign w:val="superscript"/>
        </w:rPr>
        <w:t>hi</w:t>
      </w:r>
      <w:r>
        <w:t>).</w:t>
      </w:r>
      <w:r>
        <w:rPr>
          <w:sz w:val="17"/>
          <w:szCs w:val="17"/>
          <w:vertAlign w:val="superscript"/>
        </w:rPr>
        <w:t>8</w:t>
      </w:r>
      <w:r>
        <w:t xml:space="preserve"> Progenitor cells retain some self-renewal capacity and give rise to a transitory effector-like population upon anti-PD-1 treatment; terminal cells do not respond meaningfully to checkpoint blockade and have no regenerative potential. The ratio of these two subsets in a patient's tumour is one of the better correlates of checkpoint therapy outcome currently available.</w:t>
      </w:r>
    </w:p>
    <w:p w14:paraId="2ED46294" w14:textId="77777777" w:rsidR="00A048CA" w:rsidRDefault="001E007D">
      <w:pPr>
        <w:pStyle w:val="Heading2"/>
      </w:pPr>
      <w:r>
        <w:t>2.4  A note on state stability and transition</w:t>
      </w:r>
    </w:p>
    <w:p w14:paraId="2ED46295" w14:textId="77777777" w:rsidR="00A048CA" w:rsidRDefault="001E007D">
      <w:pPr>
        <w:spacing w:after="200"/>
        <w:jc w:val="both"/>
      </w:pPr>
      <w:r>
        <w:t>Effector cell commitment is, for practical purposes, irreversible—there is no credible route back to naive status. Terminal exhaustion is similarly fixed at the epigenetic level.</w:t>
      </w:r>
      <w:r>
        <w:rPr>
          <w:sz w:val="17"/>
          <w:szCs w:val="17"/>
          <w:vertAlign w:val="superscript"/>
        </w:rPr>
        <w:t>7</w:t>
      </w:r>
      <w:r>
        <w:t xml:space="preserve"> Progenitor exhausted cells have the most plasticity but even they do not return to a fully functional memory-like state; they generate transitory effectors that re-exhaust over time if antigen persists. Memory cells reactivate readily on rechallenge but are not immune to exhaustion if that rechallenge occurs in a suppressive environment—an important caveat for tumour vaccine strategies that rely on boosting pre-existing memory.</w:t>
      </w:r>
    </w:p>
    <w:p w14:paraId="2ED46296" w14:textId="77777777" w:rsidR="00A048CA" w:rsidRDefault="00A048CA">
      <w:pPr>
        <w:spacing w:after="80"/>
      </w:pPr>
    </w:p>
    <w:p w14:paraId="2ED46297" w14:textId="77777777" w:rsidR="00A048CA" w:rsidRDefault="001E007D">
      <w:pPr>
        <w:pStyle w:val="Heading1"/>
      </w:pPr>
      <w:r>
        <w:lastRenderedPageBreak/>
        <w:t>3. What the Priming Environment Determines</w:t>
      </w:r>
    </w:p>
    <w:p w14:paraId="2ED46298" w14:textId="77777777" w:rsidR="00A048CA" w:rsidRDefault="001E007D">
      <w:pPr>
        <w:pStyle w:val="Heading2"/>
      </w:pPr>
      <w:r>
        <w:t>3.1  TCR signal strength and its downstream effects</w:t>
      </w:r>
    </w:p>
    <w:p w14:paraId="2ED46299" w14:textId="77777777" w:rsidR="00A048CA" w:rsidRDefault="001E007D">
      <w:pPr>
        <w:spacing w:after="200"/>
        <w:jc w:val="both"/>
      </w:pPr>
      <w:r>
        <w:t xml:space="preserve">The affinity of a TCR for its peptide-MHC ligand, and the duration of that interaction, set the ceiling for downstream signalling. High-affinity engagements generate strong and sustained activation of ZAP-70, ERK, and the calcineurin–NFAT axis; they also maximally activate PI3K–Akt–mTORC1. The consequences of this strong signal are largely pro-effector: T-bet is induced, IRF4 accumulates at high levels (where it drives cytotoxic gene programmes), and FOXO1 is phosphorylated out of the nucleus, removing the </w:t>
      </w:r>
      <w:r>
        <w:t>brake on effector differentiation. The cell is set on a trajectory toward a capable but short-lived killer.</w:t>
      </w:r>
      <w:r>
        <w:rPr>
          <w:sz w:val="17"/>
          <w:szCs w:val="17"/>
          <w:vertAlign w:val="superscript"/>
        </w:rPr>
        <w:t>3</w:t>
      </w:r>
    </w:p>
    <w:p w14:paraId="2ED4629A" w14:textId="77777777" w:rsidR="00A048CA" w:rsidRDefault="001E007D">
      <w:pPr>
        <w:spacing w:after="200"/>
        <w:jc w:val="both"/>
      </w:pPr>
      <w:r>
        <w:t>Lower-affinity interactions generate a quantitatively weaker version of the same signals. mTORC1 activity is reduced, FOXO1 is not fully excluded from the nucleus, and TCF-1 expression is better maintained. The result is a cell more likely to adopt the memory precursor phenotype. This relationship between signal strength and fate bias has been characterised most cleanly using altered peptide ligands, which allow titration of TCR affinity without changing other experimental variables. The pattern is graded r</w:t>
      </w:r>
      <w:r>
        <w:t>ather than binary—there is no sharp threshold above which all cells become effectors, but rather a continuous shift in the probability of each fate as a function of signal intensity.</w:t>
      </w:r>
    </w:p>
    <w:p w14:paraId="2ED4629B" w14:textId="77777777" w:rsidR="00A048CA" w:rsidRDefault="001E007D">
      <w:pPr>
        <w:spacing w:after="200"/>
        <w:jc w:val="both"/>
      </w:pPr>
      <w:r>
        <w:t xml:space="preserve">Chronic high-level stimulation, the pattern that occurs in persistent viral infection and in tumours, creates a third trajectory. Here the issue is not signal strength per se but duration: NFAT is persistently nuclear but its preferred partner AP-1 (the Fos–Jun heterodimer) is progressively lost as chronic activation depletes Fos and Jun expression. NFAT without AP-1 activates a different set of target genes, including TOX, and drives the exhaustion programme rather than the effector programme. This is why </w:t>
      </w:r>
      <w:r>
        <w:t>the distinction between acute and chronic antigen exposure matters so much for immune outcome.</w:t>
      </w:r>
    </w:p>
    <w:p w14:paraId="2ED4629C" w14:textId="77777777" w:rsidR="00A048CA" w:rsidRDefault="001E007D">
      <w:pPr>
        <w:pStyle w:val="Heading2"/>
      </w:pPr>
      <w:r>
        <w:t>3.2  Co-stimulation</w:t>
      </w:r>
    </w:p>
    <w:p w14:paraId="2ED4629D" w14:textId="77777777" w:rsidR="00A048CA" w:rsidRDefault="001E007D">
      <w:pPr>
        <w:spacing w:after="200"/>
        <w:jc w:val="both"/>
      </w:pPr>
      <w:r>
        <w:t>CD28 engagement of B7-1 (CD80) or B7-2 (CD86) on antigen-presenting cells amplifies TCR signalling through PI3K activation and provides a survival signal through Bcl-xL upregulation. Its absence, in the context of TCR stimulation alone, produces a tolerogenic outcome—functional anergy mediated in part by Cbl-b and GRAIL, E3 ubiquitin ligases that degrade proximal TCR signalling components. Strong CD28 co-stimulation supports both the initial effector response and the memory precursor pool, making it a permi</w:t>
      </w:r>
      <w:r>
        <w:t>ssive signal for both outcomes rather than a fate-deterministic one.</w:t>
      </w:r>
    </w:p>
    <w:p w14:paraId="2ED4629E" w14:textId="77777777" w:rsidR="00A048CA" w:rsidRDefault="001E007D">
      <w:pPr>
        <w:spacing w:after="200"/>
        <w:jc w:val="both"/>
      </w:pPr>
      <w:r>
        <w:t>CTLA-4, upregulated on T cells within the first day or two of activation, competes with CD28 for B7 binding at higher affinity and delivers an inhibitory signal via SHP-2. In the tumour microenvironment, Foxp3</w:t>
      </w:r>
      <w:r>
        <w:rPr>
          <w:sz w:val="17"/>
          <w:szCs w:val="17"/>
          <w:vertAlign w:val="superscript"/>
        </w:rPr>
        <w:t>+</w:t>
      </w:r>
      <w:r>
        <w:t xml:space="preserve"> regulatory T cells constitutively express high levels of CTLA-4 and have been shown to strip B7 molecules from dendritic cell surfaces by trogocytosis, effectively denying CD8</w:t>
      </w:r>
      <w:r>
        <w:rPr>
          <w:sz w:val="17"/>
          <w:szCs w:val="17"/>
          <w:vertAlign w:val="superscript"/>
        </w:rPr>
        <w:t>+</w:t>
      </w:r>
      <w:r>
        <w:t xml:space="preserve"> T cells the co-stimulatory signals they need for full activation. Anti-CTLA-4 therapy blocks this mechanism while simultaneously promoting Treg depletion through FcγR-mediated ADCC, which is why its effects in the tumour are different from its effects in the draining lymph node.</w:t>
      </w:r>
    </w:p>
    <w:p w14:paraId="2ED4629F" w14:textId="77777777" w:rsidR="00A048CA" w:rsidRDefault="001E007D">
      <w:pPr>
        <w:pStyle w:val="Heading2"/>
      </w:pPr>
      <w:r>
        <w:t>3.3  Cytokine context at priming</w:t>
      </w:r>
    </w:p>
    <w:p w14:paraId="2ED462A0" w14:textId="77777777" w:rsidR="00A048CA" w:rsidRDefault="001E007D">
      <w:pPr>
        <w:spacing w:after="200"/>
        <w:jc w:val="both"/>
      </w:pPr>
      <w:r>
        <w:t xml:space="preserve">The cytokines present at the time of T cell priming act largely through STATs to modify the transcriptional output of TCR signalling. IL-12, produced by activated dendritic cells and macrophages, engages STAT4 and directly amplifies T-bet expression; it is the most potent single driver of the terminal effector fate during acute infection. Type I interferons similarly reinforce this </w:t>
      </w:r>
      <w:r>
        <w:lastRenderedPageBreak/>
        <w:t>trajectory through STAT1. IL-2, whether produced autocrinally by the responding CD8</w:t>
      </w:r>
      <w:r>
        <w:rPr>
          <w:sz w:val="17"/>
          <w:szCs w:val="17"/>
          <w:vertAlign w:val="superscript"/>
        </w:rPr>
        <w:t>+</w:t>
      </w:r>
      <w:r>
        <w:t xml:space="preserve"> cell itself or supplied in trans by CD4</w:t>
      </w:r>
      <w:r>
        <w:rPr>
          <w:sz w:val="17"/>
          <w:szCs w:val="17"/>
          <w:vertAlign w:val="superscript"/>
        </w:rPr>
        <w:t>+</w:t>
      </w:r>
      <w:r>
        <w:t xml:space="preserve"> T helper cells nearby, signals through STAT5 to promote Bcl-2 expression and maintain proliferative capacity; it supports both effector and memory outcomes, and its depletion is strongly associated with exhaustion.</w:t>
      </w:r>
    </w:p>
    <w:p w14:paraId="2ED462A1" w14:textId="77777777" w:rsidR="00A048CA" w:rsidRDefault="001E007D">
      <w:pPr>
        <w:spacing w:after="200"/>
        <w:jc w:val="both"/>
      </w:pPr>
      <w:r>
        <w:t>In the tumour microenvironment, the relevant cytokine picture is largely inverted. TGF-β is abundant, produced by tumour cells, fibroblasts, and Tregs; it suppresses T-bet and IFN-γ expression and cooperates with chronic TCR signalling to accelerate TOX induction. IL-10 attenuates inflammatory DC activation and promotes tolerogenic antigen presentation. IL-35, produced by intratumoral Tregs, directly suppresses CD8</w:t>
      </w:r>
      <w:r>
        <w:rPr>
          <w:sz w:val="17"/>
          <w:szCs w:val="17"/>
          <w:vertAlign w:val="superscript"/>
        </w:rPr>
        <w:t>+</w:t>
      </w:r>
      <w:r>
        <w:t xml:space="preserve"> T cell proliferation and effector function through poorly characterised but STAT1– and STAT3-dependent mechanisms. The net effect is that Signal 3 in a tumour is pointing in almost exactly the opposite direction from Signal 3 during a productive anti-viral response.</w:t>
      </w:r>
    </w:p>
    <w:p w14:paraId="2ED462A2" w14:textId="77777777" w:rsidR="00A048CA" w:rsidRDefault="00A048CA">
      <w:pPr>
        <w:spacing w:after="80"/>
      </w:pPr>
    </w:p>
    <w:p w14:paraId="2ED462A3" w14:textId="77777777" w:rsidR="00A048CA" w:rsidRDefault="001E007D">
      <w:pPr>
        <w:pStyle w:val="Heading1"/>
      </w:pPr>
      <w:r>
        <w:t>4. CD4⁺ T Cell Help: Often Underestimated, Never Optional</w:t>
      </w:r>
    </w:p>
    <w:p w14:paraId="2ED462A4" w14:textId="77777777" w:rsidR="00A048CA" w:rsidRDefault="001E007D">
      <w:pPr>
        <w:pStyle w:val="Heading2"/>
      </w:pPr>
      <w:r>
        <w:t>4.1  What CD4 help does mechanistically</w:t>
      </w:r>
    </w:p>
    <w:p w14:paraId="2ED462A5" w14:textId="77777777" w:rsidR="00A048CA" w:rsidRDefault="001E007D">
      <w:pPr>
        <w:spacing w:after="200"/>
        <w:jc w:val="both"/>
      </w:pPr>
      <w:r>
        <w:t>CD4</w:t>
      </w:r>
      <w:r>
        <w:rPr>
          <w:sz w:val="17"/>
          <w:szCs w:val="17"/>
          <w:vertAlign w:val="superscript"/>
        </w:rPr>
        <w:t>+</w:t>
      </w:r>
      <w:r>
        <w:t xml:space="preserve"> T cell help for CD8</w:t>
      </w:r>
      <w:r>
        <w:rPr>
          <w:sz w:val="17"/>
          <w:szCs w:val="17"/>
          <w:vertAlign w:val="superscript"/>
        </w:rPr>
        <w:t>+</w:t>
      </w:r>
      <w:r>
        <w:t xml:space="preserve"> T cell responses operates through two principal mechanisms, both of which require that CD4</w:t>
      </w:r>
      <w:r>
        <w:rPr>
          <w:sz w:val="17"/>
          <w:szCs w:val="17"/>
          <w:vertAlign w:val="superscript"/>
        </w:rPr>
        <w:t>+</w:t>
      </w:r>
      <w:r>
        <w:t xml:space="preserve"> and CD8</w:t>
      </w:r>
      <w:r>
        <w:rPr>
          <w:sz w:val="17"/>
          <w:szCs w:val="17"/>
          <w:vertAlign w:val="superscript"/>
        </w:rPr>
        <w:t>+</w:t>
      </w:r>
      <w:r>
        <w:t xml:space="preserve"> T cells be primed by the same, or at minimum an immediately adjacent, dendritic cell. The first mechanism is dendritic cell licensing: CD40L (CD154) on activated CD4</w:t>
      </w:r>
      <w:r>
        <w:rPr>
          <w:sz w:val="17"/>
          <w:szCs w:val="17"/>
          <w:vertAlign w:val="superscript"/>
        </w:rPr>
        <w:t>+</w:t>
      </w:r>
      <w:r>
        <w:t xml:space="preserve"> cells engages CD40 on the DC, driving upregulation of B7 co-stimulatory molecules, increased IL-12 secretion, and prolonged DC survival. A DC that has received this licensing signal is substantially more capable of primin</w:t>
      </w:r>
      <w:r>
        <w:t>g a CD8</w:t>
      </w:r>
      <w:r>
        <w:rPr>
          <w:sz w:val="17"/>
          <w:szCs w:val="17"/>
          <w:vertAlign w:val="superscript"/>
        </w:rPr>
        <w:t>+</w:t>
      </w:r>
      <w:r>
        <w:t xml:space="preserve"> T cell than one that has not. This has been demonstrated cleanly by experiments comparing priming in the presence and absence of CD40–CD40L interaction, which is disrupted either by antibody blockade or by the use of class II-deficient mice that cannot generate antigen-specific CD4</w:t>
      </w:r>
      <w:r>
        <w:rPr>
          <w:sz w:val="17"/>
          <w:szCs w:val="17"/>
          <w:vertAlign w:val="superscript"/>
        </w:rPr>
        <w:t>+</w:t>
      </w:r>
      <w:r>
        <w:t xml:space="preserve"> responses.</w:t>
      </w:r>
      <w:r>
        <w:rPr>
          <w:sz w:val="17"/>
          <w:szCs w:val="17"/>
          <w:vertAlign w:val="superscript"/>
        </w:rPr>
        <w:t>9</w:t>
      </w:r>
    </w:p>
    <w:p w14:paraId="2ED462A6" w14:textId="77777777" w:rsidR="00A048CA" w:rsidRDefault="001E007D">
      <w:pPr>
        <w:spacing w:after="200"/>
        <w:jc w:val="both"/>
      </w:pPr>
      <w:r>
        <w:t>The second mechanism is the provision of paracrine IL-2. An activated Th1 cell secretes substantial quantities of IL-2, and CD8</w:t>
      </w:r>
      <w:r>
        <w:rPr>
          <w:sz w:val="17"/>
          <w:szCs w:val="17"/>
          <w:vertAlign w:val="superscript"/>
        </w:rPr>
        <w:t>+</w:t>
      </w:r>
      <w:r>
        <w:t xml:space="preserve"> T cells bearing the high-affinity trimeric IL-2 receptor (CD25/CD122/CD132) are well positioned to capture this cytokine at the immunological synapse or in the immediate vicinity. This IL-2 signal drives proliferative expansion, upregulates Bcl-2 to prevent contraction-phase death, and—perhaps most importantly—promotes the formation of the memory precursor effector cell pool by sustaining TCF-1 expression. Helpless CD8</w:t>
      </w:r>
      <w:r>
        <w:rPr>
          <w:sz w:val="17"/>
          <w:szCs w:val="17"/>
          <w:vertAlign w:val="superscript"/>
        </w:rPr>
        <w:t>+</w:t>
      </w:r>
      <w:r>
        <w:t xml:space="preserve"> T cells, primed without CD4</w:t>
      </w:r>
      <w:r>
        <w:rPr>
          <w:sz w:val="17"/>
          <w:szCs w:val="17"/>
          <w:vertAlign w:val="superscript"/>
        </w:rPr>
        <w:t>+</w:t>
      </w:r>
      <w:r>
        <w:t xml:space="preserve"> assistance, are characterised by smaller expansions, lowe</w:t>
      </w:r>
      <w:r>
        <w:t>r Bcl-2, and progressive functional deterioration upon rechallenge even when the primary response was apparently normal.</w:t>
      </w:r>
    </w:p>
    <w:p w14:paraId="2ED462A7" w14:textId="77777777" w:rsidR="00A048CA" w:rsidRDefault="001E007D">
      <w:pPr>
        <w:pStyle w:val="Heading2"/>
      </w:pPr>
      <w:r>
        <w:t>4.2  Tumour-mediated disruption of CD4 help</w:t>
      </w:r>
    </w:p>
    <w:p w14:paraId="2ED462A8" w14:textId="77777777" w:rsidR="00A048CA" w:rsidRDefault="001E007D">
      <w:pPr>
        <w:spacing w:after="200"/>
        <w:jc w:val="both"/>
      </w:pPr>
      <w:r>
        <w:t>The tumour microenvironment is in many ways a machine for eliminating CD4 help. Foxp3</w:t>
      </w:r>
      <w:r>
        <w:rPr>
          <w:sz w:val="17"/>
          <w:szCs w:val="17"/>
          <w:vertAlign w:val="superscript"/>
        </w:rPr>
        <w:t>+</w:t>
      </w:r>
      <w:r>
        <w:t xml:space="preserve"> Tregs are often the numerically dominant CD4</w:t>
      </w:r>
      <w:r>
        <w:rPr>
          <w:sz w:val="17"/>
          <w:szCs w:val="17"/>
          <w:vertAlign w:val="superscript"/>
        </w:rPr>
        <w:t>+</w:t>
      </w:r>
      <w:r>
        <w:t xml:space="preserve"> T cell subset within solid tumours, and they compete directly with conventional Th1 cells for IL-2, suppress DC maturation, and actively license tolerogenic rather than immunogenic antigen presentation. Many tumours additionally downregulate or lose MHC class II expression on their surfaces and on tumour-associated antigen-presenting cells, reducing the efficiency of CD4</w:t>
      </w:r>
      <w:r>
        <w:rPr>
          <w:sz w:val="17"/>
          <w:szCs w:val="17"/>
          <w:vertAlign w:val="superscript"/>
        </w:rPr>
        <w:t>+</w:t>
      </w:r>
      <w:r>
        <w:t xml:space="preserve"> T cell activation by cross-presented tumour antigens. The functional consequence is that tumour-infiltrating CD8</w:t>
      </w:r>
      <w:r>
        <w:rPr>
          <w:sz w:val="17"/>
          <w:szCs w:val="17"/>
          <w:vertAlign w:val="superscript"/>
        </w:rPr>
        <w:t>+</w:t>
      </w:r>
      <w:r>
        <w:t xml:space="preserve"> T cells are maintained</w:t>
      </w:r>
      <w:r>
        <w:t xml:space="preserve"> in conditions that closely replicate the helpless priming state, which is one reason why even antigen-experienced tumour-infiltrating lymphocytes often fail to generate durable functional responses.</w:t>
      </w:r>
    </w:p>
    <w:p w14:paraId="2ED462A9" w14:textId="77777777" w:rsidR="00A048CA" w:rsidRDefault="001E007D">
      <w:pPr>
        <w:pStyle w:val="Heading2"/>
      </w:pPr>
      <w:r>
        <w:t>4.3  Vaccine implications</w:t>
      </w:r>
    </w:p>
    <w:p w14:paraId="2ED462AA" w14:textId="77777777" w:rsidR="00A048CA" w:rsidRDefault="001E007D">
      <w:pPr>
        <w:spacing w:after="200"/>
        <w:jc w:val="both"/>
      </w:pPr>
      <w:r>
        <w:lastRenderedPageBreak/>
        <w:t>The implication for cancer vaccine design is fairly direct. A vaccine that drives only CD8</w:t>
      </w:r>
      <w:r>
        <w:rPr>
          <w:sz w:val="17"/>
          <w:szCs w:val="17"/>
          <w:vertAlign w:val="superscript"/>
        </w:rPr>
        <w:t>+</w:t>
      </w:r>
      <w:r>
        <w:t xml:space="preserve"> T cell responses—peptide-only vaccines targeting HLA class I epitopes are the canonical example—is generating a response that will lack the licensing and IL-2 support it needs to produce durable memory and avoid exhaustion in the tumour. Effective vaccines need MHC class II-binding epitopes in the formulation, either as dedicated helper peptides or as part of longer peptides or protein antigens that can be processed along both the class I and class II pathways.</w:t>
      </w:r>
    </w:p>
    <w:p w14:paraId="2ED462AB" w14:textId="77777777" w:rsidR="00A048CA" w:rsidRDefault="001E007D">
      <w:pPr>
        <w:spacing w:after="200"/>
        <w:jc w:val="both"/>
      </w:pPr>
      <w:r>
        <w:t>Adjuvant selection is part of the same problem. TLR agonists such as poly-ICLC (TLR3) and CpG ODN (TLR9) promote the kind of DC maturation—IL-12 production, B7 upregulation, CCR7-dependent migration to the lymph node—that provides optimal Signals 2 and 3. The mRNA-lipid nanoparticle platform has attracted particular attention because it naturally encodes multiple epitopes simultaneously, is efficiently taken up by dendritic cells, and drives both class I and class II presentation from the same immunogen. Ea</w:t>
      </w:r>
      <w:r>
        <w:t>rly clinical data with personalised neoantigen mRNA vaccines, particularly in combination with anti-PD-1, have shown encouraging immunogenicity and some evidence of clinical benefit.</w:t>
      </w:r>
      <w:r>
        <w:rPr>
          <w:sz w:val="17"/>
          <w:szCs w:val="17"/>
          <w:vertAlign w:val="superscript"/>
        </w:rPr>
        <w:t>10</w:t>
      </w:r>
    </w:p>
    <w:p w14:paraId="2ED462AC" w14:textId="77777777" w:rsidR="00A048CA" w:rsidRDefault="00A048CA">
      <w:pPr>
        <w:spacing w:after="80"/>
      </w:pPr>
    </w:p>
    <w:p w14:paraId="2ED462AD" w14:textId="77777777" w:rsidR="00A048CA" w:rsidRDefault="001E007D">
      <w:pPr>
        <w:pStyle w:val="Heading1"/>
      </w:pPr>
      <w:r>
        <w:t>5. Why the Memory Pool Is Built from Lower-Affinity Clones</w:t>
      </w:r>
    </w:p>
    <w:p w14:paraId="2ED462AE" w14:textId="77777777" w:rsidR="00A048CA" w:rsidRDefault="001E007D">
      <w:pPr>
        <w:pStyle w:val="Heading2"/>
      </w:pPr>
      <w:r>
        <w:t>5.1  The phenomenon</w:t>
      </w:r>
    </w:p>
    <w:p w14:paraId="2ED462AF" w14:textId="77777777" w:rsidR="00A048CA" w:rsidRDefault="001E007D">
      <w:pPr>
        <w:spacing w:after="200"/>
        <w:jc w:val="both"/>
      </w:pPr>
      <w:r>
        <w:t xml:space="preserve">One of the more striking findings to emerge from detailed analyses of TCR repertoire dynamics is that the cells that seed the long-lived memory pool are not, on average, the cells with the highest-affinity TCRs. Zehn and colleagues demonstrated this directly in a series of experiments using altered peptide ligands of systematically varied affinities: clones stimulated by lower-affinity ligands generated smaller peak expansions but contributed proportionally more to the memory compartment than high-affinity </w:t>
      </w:r>
      <w:r>
        <w:t>clones.</w:t>
      </w:r>
      <w:r>
        <w:rPr>
          <w:sz w:val="17"/>
          <w:szCs w:val="17"/>
          <w:vertAlign w:val="superscript"/>
        </w:rPr>
        <w:t>11</w:t>
      </w:r>
      <w:r>
        <w:t xml:space="preserve"> This seems counterintuitive at first. If the goal is long-term protection, why would the immune system preferentially retain the cells that responded least vigorously?</w:t>
      </w:r>
    </w:p>
    <w:p w14:paraId="2ED462B0" w14:textId="77777777" w:rsidR="00A048CA" w:rsidRDefault="001E007D">
      <w:pPr>
        <w:pStyle w:val="Heading2"/>
      </w:pPr>
      <w:r>
        <w:t>5.2  Why high-affinity clones are depleted</w:t>
      </w:r>
    </w:p>
    <w:p w14:paraId="2ED462B1" w14:textId="77777777" w:rsidR="00A048CA" w:rsidRDefault="001E007D">
      <w:pPr>
        <w:spacing w:after="200"/>
        <w:jc w:val="both"/>
      </w:pPr>
      <w:r>
        <w:t xml:space="preserve">Part of the explanation lies in the biology of activation-induced cell death. Strong TCR signals upregulate Fas, FasL, and the BH3-only protein Bim, all of which promote mitochondrial and death receptor-mediated apoptosis during the contraction phase. High-affinity T cells, having received the strongest possible activation signals, are the most thoroughly sensitised to this death programme by the time contraction begins. They also, as discussed above, have the most fully phosphorylated and nuclear-excluded </w:t>
      </w:r>
      <w:r>
        <w:t>FOXO1, and therefore the lowest expression of CD127 and Bcl-2—the survival receptors that cells need to persist through homeostatic maintenance. The biology conspires against keeping its most acute performers alive long-term.</w:t>
      </w:r>
    </w:p>
    <w:p w14:paraId="2ED462B2" w14:textId="77777777" w:rsidR="00A048CA" w:rsidRDefault="001E007D">
      <w:pPr>
        <w:pStyle w:val="Heading2"/>
      </w:pPr>
      <w:r>
        <w:t>5.3  What lower-affinity memory cells provide</w:t>
      </w:r>
    </w:p>
    <w:p w14:paraId="2ED462B3" w14:textId="77777777" w:rsidR="00A048CA" w:rsidRDefault="001E007D">
      <w:pPr>
        <w:spacing w:after="200"/>
        <w:jc w:val="both"/>
      </w:pPr>
      <w:r>
        <w:t>The case for lower-affinity memory becomes clearer when the immune system is viewed as facing an optimisation problem across time rather than at a single point. Four overlapping benefits deserve comment.</w:t>
      </w:r>
    </w:p>
    <w:p w14:paraId="2ED462B4" w14:textId="77777777" w:rsidR="00A048CA" w:rsidRDefault="001E007D">
      <w:pPr>
        <w:spacing w:after="200"/>
        <w:jc w:val="both"/>
      </w:pPr>
      <w:r>
        <w:t xml:space="preserve">The first is cross-reactivity. A TCR that binds a given epitope with moderate affinity will typically bind a range of structurally similar peptides; one with very high affinity for a specific peptide-MHC combination often has much narrower specificity. This matters because pathogens mutate and tumours undergo clonal evolution. A memory pool composed exclusively of high-affinity, narrowly specific clones could be rendered ineffective by a single mutation in the immunodominant epitope. </w:t>
      </w:r>
      <w:r>
        <w:lastRenderedPageBreak/>
        <w:t>Lower-affinity memory cells with broader cross-reactivity provide a buffer against this kind of escape.</w:t>
      </w:r>
      <w:r>
        <w:rPr>
          <w:sz w:val="17"/>
          <w:szCs w:val="17"/>
          <w:vertAlign w:val="superscript"/>
        </w:rPr>
        <w:t>11</w:t>
      </w:r>
    </w:p>
    <w:p w14:paraId="2ED462B5" w14:textId="77777777" w:rsidR="00A048CA" w:rsidRDefault="001E007D">
      <w:pPr>
        <w:spacing w:after="200"/>
        <w:jc w:val="both"/>
      </w:pPr>
      <w:r>
        <w:t>The second benefit is repertoire diversity. Even if cross-reactivity were not an issue, maintaining a diverse set of clones in memory is preferable to concentrating the memory pool in a handful of dominant clones. The latter situation creates fragility; the former creates resilience. In the context of tumour immunosurveillance, where neoantigens vary from patient to patient and within a tumour over time, a broad and diverse memory pool is considerably more valuable than a numerically large but clonally rest</w:t>
      </w:r>
      <w:r>
        <w:t>ricted one.</w:t>
      </w:r>
    </w:p>
    <w:p w14:paraId="2ED462B6" w14:textId="77777777" w:rsidR="00A048CA" w:rsidRDefault="001E007D">
      <w:pPr>
        <w:spacing w:after="200"/>
        <w:jc w:val="both"/>
      </w:pPr>
      <w:r>
        <w:t>Third, lower-affinity clones sit in a safer zone with respect to self-reactivity. The highest-affinity T cells in the naive repertoire are often those that narrowly escaped negative selection in the thymus; their long-term persistence in the periphery carries some risk of autoimmune reactivity. Retaining moderate-affinity cells in memory provides protection against re-infection without that risk.</w:t>
      </w:r>
    </w:p>
    <w:p w14:paraId="2ED462B7" w14:textId="77777777" w:rsidR="00A048CA" w:rsidRDefault="001E007D">
      <w:pPr>
        <w:spacing w:after="200"/>
        <w:jc w:val="both"/>
      </w:pPr>
      <w:r>
        <w:t>Fourth, and perhaps most practically, memory cells of moderate affinity mount more sustained recall responses. Extremely high-affinity re-stimulation can drive rapid terminal differentiation and depletion of the memory pool itself. A moderate-affinity memory cell can sustain a more prolonged and renewable response, which is likely to be more useful in the context of a chronic challenge like cancer.</w:t>
      </w:r>
    </w:p>
    <w:p w14:paraId="2ED462B8" w14:textId="77777777" w:rsidR="00A048CA" w:rsidRDefault="00A048CA">
      <w:pPr>
        <w:spacing w:after="80"/>
      </w:pPr>
    </w:p>
    <w:p w14:paraId="2ED462B9" w14:textId="77777777" w:rsidR="00A048CA" w:rsidRDefault="001E007D">
      <w:pPr>
        <w:pStyle w:val="Heading1"/>
      </w:pPr>
      <w:r>
        <w:t>6. T Cell Exhaustion in Tumours and the Rationale for Checkpoint Blockade</w:t>
      </w:r>
    </w:p>
    <w:p w14:paraId="2ED462BA" w14:textId="77777777" w:rsidR="00A048CA" w:rsidRDefault="001E007D">
      <w:pPr>
        <w:pStyle w:val="Heading2"/>
      </w:pPr>
      <w:r>
        <w:t>6.1  The tumour microenvironment as an exhaustion machine</w:t>
      </w:r>
    </w:p>
    <w:p w14:paraId="2ED462BB" w14:textId="77777777" w:rsidR="00A048CA" w:rsidRDefault="001E007D">
      <w:pPr>
        <w:spacing w:after="200"/>
        <w:jc w:val="both"/>
      </w:pPr>
      <w:r>
        <w:t>The tumour microenvironment assembles, with remarkable efficiency, nearly every condition known to drive T cell exhaustion. Antigen is persistent and present at high density. TGF-β, IL-10, and VEGF are chronically elevated. Tregs constitute a substantial fraction of the intratumoural immune infiltrate and actively deplete IL-2. Hypoxia suppresses oxidative phosphorylation in T cells and upregulates HIF-1α, which among other effects promotes expression of co-inhibitory ligands on tumour cells. Tumour cells u</w:t>
      </w:r>
      <w:r>
        <w:t>pregulate PD-L1 in direct response to IFN-γ produced by the few functional T cells that do infiltrate—an adaptive mechanism that specifically silences the cells most capable of damaging the tumour. This last dynamic, sometimes called adaptive immune resistance, creates a self-defeating feedback loop within the tumour that is not easy to break.</w:t>
      </w:r>
    </w:p>
    <w:p w14:paraId="2ED462BC" w14:textId="77777777" w:rsidR="00A048CA" w:rsidRDefault="001E007D">
      <w:pPr>
        <w:spacing w:after="200"/>
        <w:jc w:val="both"/>
      </w:pPr>
      <w:r>
        <w:t>The result of all this is a CD8</w:t>
      </w:r>
      <w:r>
        <w:rPr>
          <w:sz w:val="17"/>
          <w:szCs w:val="17"/>
          <w:vertAlign w:val="superscript"/>
        </w:rPr>
        <w:t>+</w:t>
      </w:r>
      <w:r>
        <w:t xml:space="preserve"> T cell compartment within the tumour that is quantitatively large, antigen-specific, phenotypically active, and functionally useless. The cells have been epigenetically locked into the exhaustion state by TOX-driven chromatin remodelling, and that state is not reversed by antigen removal. This is the challenge that checkpoint immunotherapy is attempting to overcome, at least partially.</w:t>
      </w:r>
    </w:p>
    <w:p w14:paraId="2ED462BD" w14:textId="77777777" w:rsidR="00A048CA" w:rsidRDefault="001E007D">
      <w:pPr>
        <w:pStyle w:val="Heading2"/>
      </w:pPr>
      <w:r>
        <w:t>6.2  How checkpoint inhibitors work</w:t>
      </w:r>
    </w:p>
    <w:p w14:paraId="2ED462BE" w14:textId="77777777" w:rsidR="00A048CA" w:rsidRDefault="001E007D">
      <w:pPr>
        <w:spacing w:after="200"/>
        <w:jc w:val="both"/>
      </w:pPr>
      <w:r>
        <w:t>Anti-PD-1 and anti-PD-L1 antibodies (pembrolizumab, nivolumab, atezolizumab) block the PD-1:PD-L1 interaction that activates SHP-2 and dampens TCR proximal signalling. The clinical and experimental evidence now reasonably clearly indicates that the cells that respond to this intervention are not the terminally exhausted T</w:t>
      </w:r>
      <w:r>
        <w:rPr>
          <w:sz w:val="18"/>
          <w:szCs w:val="18"/>
          <w:vertAlign w:val="subscript"/>
        </w:rPr>
        <w:t>EX</w:t>
      </w:r>
      <w:r>
        <w:rPr>
          <w:sz w:val="17"/>
          <w:szCs w:val="17"/>
          <w:vertAlign w:val="superscript"/>
        </w:rPr>
        <w:t>term</w:t>
      </w:r>
      <w:r>
        <w:t xml:space="preserve"> cells but the progenitor exhausted T</w:t>
      </w:r>
      <w:r>
        <w:rPr>
          <w:sz w:val="18"/>
          <w:szCs w:val="18"/>
          <w:vertAlign w:val="subscript"/>
        </w:rPr>
        <w:t>EX</w:t>
      </w:r>
      <w:r>
        <w:rPr>
          <w:sz w:val="17"/>
          <w:szCs w:val="17"/>
          <w:vertAlign w:val="superscript"/>
        </w:rPr>
        <w:t>prog</w:t>
      </w:r>
      <w:r>
        <w:t xml:space="preserve"> cells, which proliferate and give rise to a transitory effector-like population.</w:t>
      </w:r>
      <w:r>
        <w:rPr>
          <w:sz w:val="17"/>
          <w:szCs w:val="17"/>
          <w:vertAlign w:val="superscript"/>
        </w:rPr>
        <w:t>8</w:t>
      </w:r>
      <w:r>
        <w:t xml:space="preserve"> The magnitude of that T</w:t>
      </w:r>
      <w:r>
        <w:rPr>
          <w:sz w:val="18"/>
          <w:szCs w:val="18"/>
          <w:vertAlign w:val="subscript"/>
        </w:rPr>
        <w:t>EX</w:t>
      </w:r>
      <w:r>
        <w:rPr>
          <w:sz w:val="17"/>
          <w:szCs w:val="17"/>
          <w:vertAlign w:val="superscript"/>
        </w:rPr>
        <w:t>prog</w:t>
      </w:r>
      <w:r>
        <w:t xml:space="preserve"> pool in the tumour at baseline is therefore one of the strongest predictors of whether a patient will </w:t>
      </w:r>
      <w:r>
        <w:lastRenderedPageBreak/>
        <w:t>respond to PD-1 blockade—patients who have already progressed to predominantly terminal exhaustion are less likely to benefit.</w:t>
      </w:r>
    </w:p>
    <w:p w14:paraId="2ED462BF" w14:textId="77777777" w:rsidR="00A048CA" w:rsidRDefault="001E007D">
      <w:pPr>
        <w:spacing w:after="200"/>
        <w:jc w:val="both"/>
      </w:pPr>
      <w:r>
        <w:t>Anti-CTLA-4 (ipilimumab, tremelimumab) acts through a different mechanism. In the lymph node, it amplifies CD28-dependent co-stimulation by preventing CTLA-4 from outcompeting CD28 for B7 ligands. Within the tumour, it also mediates depletion of Foxp3</w:t>
      </w:r>
      <w:r>
        <w:rPr>
          <w:sz w:val="17"/>
          <w:szCs w:val="17"/>
          <w:vertAlign w:val="superscript"/>
        </w:rPr>
        <w:t>+</w:t>
      </w:r>
      <w:r>
        <w:t xml:space="preserve"> Tregs through FcγRIII-dependent ADCC, which has the secondary effect of partially restoring IL-2 availability and CD4</w:t>
      </w:r>
      <w:r>
        <w:rPr>
          <w:sz w:val="17"/>
          <w:szCs w:val="17"/>
          <w:vertAlign w:val="superscript"/>
        </w:rPr>
        <w:t>+</w:t>
      </w:r>
      <w:r>
        <w:t xml:space="preserve"> help in the tumour microenvironment. The combination of anti-PD-1 and anti-CTLA-4, now approved for several tumour types, works synergistically precisely because the two drugs are targeting different nodes in the suppression network.</w:t>
      </w:r>
    </w:p>
    <w:p w14:paraId="2ED462C0" w14:textId="77777777" w:rsidR="00A048CA" w:rsidRDefault="001E007D">
      <w:pPr>
        <w:spacing w:after="200"/>
        <w:jc w:val="both"/>
      </w:pPr>
      <w:r>
        <w:t>Anti-LAG-3 (relatlimab) received regulatory approval in combination with nivolumab for melanoma in 2022, marking the first approval of a dual checkpoint combination beyond PD-1 plus CTLA-4.</w:t>
      </w:r>
      <w:r>
        <w:rPr>
          <w:sz w:val="17"/>
          <w:szCs w:val="17"/>
          <w:vertAlign w:val="superscript"/>
        </w:rPr>
        <w:t>12</w:t>
      </w:r>
      <w:r>
        <w:t xml:space="preserve"> LAG-3 binds MHC class II on antigen-presenting cells and tumour cells and transmits inhibitory signals that are additive with those of PD-1. The clinical benefit of relatlimab plus nivolumab versus nivolumab alone in treatment-naive metastatic melanoma suggests that targeting multiple co-inhibitory receptors simultaneously provides meaningful additional clinical activity, though the magnitude of benefit is more modest than that achieved by anti-PD-1 plus anti-CTLA-4.</w:t>
      </w:r>
    </w:p>
    <w:p w14:paraId="2ED462C1" w14:textId="77777777" w:rsidR="00A048CA" w:rsidRDefault="001E007D">
      <w:pPr>
        <w:pStyle w:val="Heading2"/>
      </w:pPr>
      <w:r>
        <w:t>6.3  Limitations and honest uncertainties</w:t>
      </w:r>
    </w:p>
    <w:p w14:paraId="2ED462C2" w14:textId="77777777" w:rsidR="00A048CA" w:rsidRDefault="001E007D">
      <w:pPr>
        <w:spacing w:after="200"/>
        <w:jc w:val="both"/>
      </w:pPr>
      <w:r>
        <w:t>Checkpoint blockade does not work in the majority of patients with most solid tumour types, and understanding why is among the most pressing questions in the field. Resistance mechanisms are varied. MHC class I loss, through downregulation of beta-2-microglobulin or HLA heavy chains, prevents T cell recognition of tumour antigens regardless of T cell activation state. Mutations in JAK1 or JAK2 render tumour cells resistant to IFN-γ, disrupting the signalling cascade that checkpoint blockade is designed to a</w:t>
      </w:r>
      <w:r>
        <w:t>mplify. The epigenetic lock imposed by TOX means that terminally exhausted cells do not benefit from PD-1 blockade, so patients who present with advanced disease and a largely terminal exhausted T cell compartment have limited options within the current framework.</w:t>
      </w:r>
      <w:r>
        <w:rPr>
          <w:sz w:val="17"/>
          <w:szCs w:val="17"/>
          <w:vertAlign w:val="superscript"/>
        </w:rPr>
        <w:t>7</w:t>
      </w:r>
    </w:p>
    <w:p w14:paraId="2ED462C3" w14:textId="77777777" w:rsidR="00A048CA" w:rsidRDefault="001E007D">
      <w:pPr>
        <w:spacing w:after="200"/>
        <w:jc w:val="both"/>
      </w:pPr>
      <w:r>
        <w:t>Conceptually, the field is moving toward two complementary strategies. One is to intervene earlier, before exhaustion progresses to the terminal state—using vaccines or adoptive therapies to generate or introduce a large progenitor-like pool before tumour-induced exhaustion depletes it. The other is to find ways to partially reverse the epigenetic programme of exhaustion, either through HDAC inhibitors, DNMT inhibitors, or combinations of chromatin-modifying agents with checkpoint blockade. Neither approach</w:t>
      </w:r>
      <w:r>
        <w:t xml:space="preserve"> has yet produced a major clinical breakthrough, but both are grounded in a mechanistic understanding of what checkpoint therapy is and is not capable of doing.</w:t>
      </w:r>
    </w:p>
    <w:p w14:paraId="2ED462C4" w14:textId="77777777" w:rsidR="00A048CA" w:rsidRDefault="00A048CA">
      <w:pPr>
        <w:spacing w:after="80"/>
      </w:pPr>
    </w:p>
    <w:p w14:paraId="2ED462C5" w14:textId="77777777" w:rsidR="00A048CA" w:rsidRDefault="001E007D">
      <w:pPr>
        <w:pStyle w:val="Heading1"/>
      </w:pPr>
      <w:r>
        <w:t>7. Conclusions</w:t>
      </w:r>
    </w:p>
    <w:p w14:paraId="2ED462C6" w14:textId="77777777" w:rsidR="00A048CA" w:rsidRDefault="001E007D">
      <w:pPr>
        <w:spacing w:after="200"/>
        <w:jc w:val="both"/>
      </w:pPr>
      <w:r>
        <w:t>The CD8</w:t>
      </w:r>
      <w:r>
        <w:rPr>
          <w:sz w:val="17"/>
          <w:szCs w:val="17"/>
          <w:vertAlign w:val="superscript"/>
        </w:rPr>
        <w:t>+</w:t>
      </w:r>
      <w:r>
        <w:t xml:space="preserve"> T cell is not a fixed entity. It is a cell whose identity is written by the signals it receives—from the peptide-MHC it binds, from the co-stimulatory molecules on the DC that presents to it, from the cytokines in the tissue where that encounter occurs, and from whether a CD4</w:t>
      </w:r>
      <w:r>
        <w:rPr>
          <w:sz w:val="17"/>
          <w:szCs w:val="17"/>
          <w:vertAlign w:val="superscript"/>
        </w:rPr>
        <w:t>+</w:t>
      </w:r>
      <w:r>
        <w:t xml:space="preserve"> T cell is nearby and willing to help. The outcome of those signals is encoded first in transcription factor expression and then, durably, in epigenetic state. The resulting fates—effector, memory, exhausted—are not simply different p</w:t>
      </w:r>
      <w:r>
        <w:t>oints on a spectrum of activation; they are qualitatively distinct cell types with different survival requirements, different anatomical preferences, and different relationships to antigen encounter.</w:t>
      </w:r>
    </w:p>
    <w:p w14:paraId="2ED462C7" w14:textId="77777777" w:rsidR="00A048CA" w:rsidRDefault="001E007D">
      <w:pPr>
        <w:spacing w:after="200"/>
        <w:jc w:val="both"/>
      </w:pPr>
      <w:r>
        <w:lastRenderedPageBreak/>
        <w:t>Several conclusions with practical relevance follow from the molecular biology reviewed here. First, CD4</w:t>
      </w:r>
      <w:r>
        <w:rPr>
          <w:sz w:val="17"/>
          <w:szCs w:val="17"/>
          <w:vertAlign w:val="superscript"/>
        </w:rPr>
        <w:t>+</w:t>
      </w:r>
      <w:r>
        <w:t xml:space="preserve"> help is not ancillary—it is required for the formation of durable, functionally competent CD8</w:t>
      </w:r>
      <w:r>
        <w:rPr>
          <w:sz w:val="17"/>
          <w:szCs w:val="17"/>
          <w:vertAlign w:val="superscript"/>
        </w:rPr>
        <w:t>+</w:t>
      </w:r>
      <w:r>
        <w:t xml:space="preserve"> memory, and its absence predicts exhaustion on rechallenge. Vaccines that do not activate CD4</w:t>
      </w:r>
      <w:r>
        <w:rPr>
          <w:sz w:val="17"/>
          <w:szCs w:val="17"/>
          <w:vertAlign w:val="superscript"/>
        </w:rPr>
        <w:t>+</w:t>
      </w:r>
      <w:r>
        <w:t xml:space="preserve"> T cells are building on inadequate foundations. Second, the memory pool's preference for lower-affinity clones is a feature rather than a bug: it ensures cross-reactivity, diversity, and autoimmune safety at the cost of peak signal strength. Vaccine strategies that focus exclusively on maximising the initial response r</w:t>
      </w:r>
      <w:r>
        <w:t>isk building a memory pool that is narrow and fragile. Third, exhaustion in tumours is not uniform: the progenitor subset remains targetable, but the terminal subset does not, and the clinical implications of this distinction are now being borne out in checkpoint therapy response data.</w:t>
      </w:r>
    </w:p>
    <w:p w14:paraId="2ED462C8" w14:textId="77777777" w:rsidR="00A048CA" w:rsidRDefault="001E007D">
      <w:pPr>
        <w:spacing w:after="200"/>
        <w:jc w:val="both"/>
      </w:pPr>
      <w:r>
        <w:t>What these principles collectively suggest is that the future of tumour immunotherapy lies not in any single intervention but in combinations that address the multiple determinants of T cell fate simultaneously. A vaccine that drives CD4-helped, well-primed CD8 responses; a checkpoint agent that preserves the progenitor exhausted pool from terminal conversion; a TME-targeting agent that clears the immunosuppressive cellular and cytokine barriers—this kind of multi-pronged approach is where the logic of T ce</w:t>
      </w:r>
      <w:r>
        <w:t>ll fate biology points. Whether the clinical implementation proves tractable is another matter, but the biological rationale is becoming clearer.</w:t>
      </w:r>
    </w:p>
    <w:p w14:paraId="2ED462C9" w14:textId="77777777" w:rsidR="00A048CA" w:rsidRDefault="00A048CA">
      <w:pPr>
        <w:spacing w:after="120"/>
      </w:pPr>
    </w:p>
    <w:p w14:paraId="2ED462CA" w14:textId="77777777" w:rsidR="00A048CA" w:rsidRDefault="001E007D">
      <w:pPr>
        <w:pStyle w:val="Heading1"/>
      </w:pPr>
      <w:r>
        <w:t>References</w:t>
      </w:r>
    </w:p>
    <w:p w14:paraId="2ED462CB" w14:textId="77777777" w:rsidR="00A048CA" w:rsidRDefault="00A048CA">
      <w:pPr>
        <w:pBdr>
          <w:bottom w:val="single" w:sz="4" w:space="1" w:color="1B3A5C"/>
        </w:pBdr>
        <w:spacing w:before="80" w:after="80"/>
      </w:pPr>
    </w:p>
    <w:p w14:paraId="2ED462CC" w14:textId="77777777" w:rsidR="00A048CA" w:rsidRDefault="00A048CA">
      <w:pPr>
        <w:spacing w:after="60"/>
      </w:pPr>
    </w:p>
    <w:p w14:paraId="2ED462CD" w14:textId="77777777" w:rsidR="00A048CA" w:rsidRDefault="001E007D">
      <w:pPr>
        <w:spacing w:after="120"/>
        <w:ind w:left="640" w:hanging="360"/>
      </w:pPr>
      <w:r>
        <w:rPr>
          <w:b/>
          <w:bCs/>
          <w:sz w:val="20"/>
          <w:szCs w:val="20"/>
        </w:rPr>
        <w:t xml:space="preserve">1.  </w:t>
      </w:r>
      <w:r>
        <w:rPr>
          <w:sz w:val="20"/>
          <w:szCs w:val="20"/>
        </w:rPr>
        <w:t>Zhang L, Conejo-Garcia JR, Katsaros D, et al. Intratumoral T cells, recurrence, and survival in epithelial ovarian cancer. N Engl J Med. 2003;348(3):203–213.</w:t>
      </w:r>
    </w:p>
    <w:p w14:paraId="2ED462CE" w14:textId="77777777" w:rsidR="00A048CA" w:rsidRDefault="001E007D">
      <w:pPr>
        <w:spacing w:after="120"/>
        <w:ind w:left="640" w:hanging="360"/>
      </w:pPr>
      <w:r>
        <w:rPr>
          <w:b/>
          <w:bCs/>
          <w:sz w:val="20"/>
          <w:szCs w:val="20"/>
        </w:rPr>
        <w:t xml:space="preserve">2.  </w:t>
      </w:r>
      <w:r>
        <w:rPr>
          <w:sz w:val="20"/>
          <w:szCs w:val="20"/>
        </w:rPr>
        <w:t>Murali-Krishna K, Altman JD, Suresh M, et al. Counting antigen-specific CD8 T cells: a reevaluation of bystander activation during viral infection. Immunity. 1998;8(2):177–187.</w:t>
      </w:r>
    </w:p>
    <w:p w14:paraId="2ED462CF" w14:textId="77777777" w:rsidR="00A048CA" w:rsidRDefault="001E007D">
      <w:pPr>
        <w:spacing w:after="120"/>
        <w:ind w:left="640" w:hanging="360"/>
      </w:pPr>
      <w:r>
        <w:rPr>
          <w:b/>
          <w:bCs/>
          <w:sz w:val="20"/>
          <w:szCs w:val="20"/>
        </w:rPr>
        <w:t xml:space="preserve">3.  </w:t>
      </w:r>
      <w:r>
        <w:rPr>
          <w:sz w:val="20"/>
          <w:szCs w:val="20"/>
        </w:rPr>
        <w:t>Kaech SM, Cui W. Transcriptional control of effector and memory CD8+ T cell differentiation. Nat Rev Immunol. 2012;12(11):749–761.</w:t>
      </w:r>
    </w:p>
    <w:p w14:paraId="2ED462D0" w14:textId="77777777" w:rsidR="00A048CA" w:rsidRDefault="001E007D">
      <w:pPr>
        <w:spacing w:after="120"/>
        <w:ind w:left="640" w:hanging="360"/>
      </w:pPr>
      <w:r>
        <w:rPr>
          <w:b/>
          <w:bCs/>
          <w:sz w:val="20"/>
          <w:szCs w:val="20"/>
        </w:rPr>
        <w:t xml:space="preserve">4.  </w:t>
      </w:r>
      <w:r>
        <w:rPr>
          <w:sz w:val="20"/>
          <w:szCs w:val="20"/>
        </w:rPr>
        <w:t>Zhou X, Yu S, Zhao DM, Harty JT, Badovinac VP, Xue HH. Differentiation and persistence of memory CD8+ T cells depend on T cell factor 1. Immunity. 2010;33(2):229–240.</w:t>
      </w:r>
    </w:p>
    <w:p w14:paraId="2ED462D1" w14:textId="77777777" w:rsidR="00A048CA" w:rsidRDefault="001E007D">
      <w:pPr>
        <w:spacing w:after="120"/>
        <w:ind w:left="640" w:hanging="360"/>
      </w:pPr>
      <w:r>
        <w:rPr>
          <w:b/>
          <w:bCs/>
          <w:sz w:val="20"/>
          <w:szCs w:val="20"/>
        </w:rPr>
        <w:t xml:space="preserve">5.  </w:t>
      </w:r>
      <w:r>
        <w:rPr>
          <w:sz w:val="20"/>
          <w:szCs w:val="20"/>
        </w:rPr>
        <w:t>McLane LM, Abdel-Hakeem MS, Wherry EJ. CD8 T cell exhaustion during chronic viral infection and cancer. Annu Rev Immunol. 2019;37:457–495.</w:t>
      </w:r>
    </w:p>
    <w:p w14:paraId="2ED462D2" w14:textId="77777777" w:rsidR="00A048CA" w:rsidRDefault="001E007D">
      <w:pPr>
        <w:spacing w:after="120"/>
        <w:ind w:left="640" w:hanging="360"/>
      </w:pPr>
      <w:r>
        <w:rPr>
          <w:b/>
          <w:bCs/>
          <w:sz w:val="20"/>
          <w:szCs w:val="20"/>
        </w:rPr>
        <w:t xml:space="preserve">6.  </w:t>
      </w:r>
      <w:r>
        <w:rPr>
          <w:sz w:val="20"/>
          <w:szCs w:val="20"/>
        </w:rPr>
        <w:t>Scott AC, Dundar F, Zumbo P, et al. TOX is a critical regulator of tumour- and virus-specific CD8+ T cell exhaustion. Nature. 2019;571(7764):270–274.</w:t>
      </w:r>
    </w:p>
    <w:p w14:paraId="2ED462D3" w14:textId="77777777" w:rsidR="00A048CA" w:rsidRDefault="001E007D">
      <w:pPr>
        <w:spacing w:after="120"/>
        <w:ind w:left="640" w:hanging="360"/>
      </w:pPr>
      <w:r>
        <w:rPr>
          <w:b/>
          <w:bCs/>
          <w:sz w:val="20"/>
          <w:szCs w:val="20"/>
        </w:rPr>
        <w:t xml:space="preserve">7.  </w:t>
      </w:r>
      <w:r>
        <w:rPr>
          <w:sz w:val="20"/>
          <w:szCs w:val="20"/>
        </w:rPr>
        <w:t>Pauken KE, Sammons MA, Odorizzi PM, et al. Epigenetic stability of exhausted T cells limits durability of reinvigoration by PD-1 blockade. Science. 2016;354(6316):1160–1165.</w:t>
      </w:r>
    </w:p>
    <w:p w14:paraId="2ED462D4" w14:textId="77777777" w:rsidR="00A048CA" w:rsidRDefault="001E007D">
      <w:pPr>
        <w:spacing w:after="120"/>
        <w:ind w:left="640" w:hanging="360"/>
      </w:pPr>
      <w:r>
        <w:rPr>
          <w:b/>
          <w:bCs/>
          <w:sz w:val="20"/>
          <w:szCs w:val="20"/>
        </w:rPr>
        <w:t xml:space="preserve">8.  </w:t>
      </w:r>
      <w:r>
        <w:rPr>
          <w:sz w:val="20"/>
          <w:szCs w:val="20"/>
        </w:rPr>
        <w:t>Miller BC, Sen DR, Al Abosy R, et al. Subsets of exhausted CD8+ T cells differentially mediate tumor control and respond to checkpoint blockade. Nat Immunol. 2019;20(3):326–336.</w:t>
      </w:r>
    </w:p>
    <w:p w14:paraId="2ED462D5" w14:textId="77777777" w:rsidR="00A048CA" w:rsidRDefault="001E007D">
      <w:pPr>
        <w:spacing w:after="120"/>
        <w:ind w:left="640" w:hanging="360"/>
      </w:pPr>
      <w:r>
        <w:rPr>
          <w:b/>
          <w:bCs/>
          <w:sz w:val="20"/>
          <w:szCs w:val="20"/>
        </w:rPr>
        <w:t xml:space="preserve">9.  </w:t>
      </w:r>
      <w:r>
        <w:rPr>
          <w:sz w:val="20"/>
          <w:szCs w:val="20"/>
        </w:rPr>
        <w:t>Shedlock DJ, Shen H. Requirement for CD4 T cell help in generating functional CD8 T cell memory. Science. 2003;300(5617):337–339.</w:t>
      </w:r>
    </w:p>
    <w:p w14:paraId="2ED462D6" w14:textId="77777777" w:rsidR="00A048CA" w:rsidRDefault="001E007D">
      <w:pPr>
        <w:spacing w:after="120"/>
        <w:ind w:left="640" w:hanging="360"/>
      </w:pPr>
      <w:r>
        <w:rPr>
          <w:b/>
          <w:bCs/>
          <w:sz w:val="20"/>
          <w:szCs w:val="20"/>
        </w:rPr>
        <w:t xml:space="preserve">10.  </w:t>
      </w:r>
      <w:r>
        <w:rPr>
          <w:sz w:val="20"/>
          <w:szCs w:val="20"/>
        </w:rPr>
        <w:t>Sahin U, Derhovanessian E, Miller M, et al. Personalized RNA mutanome vaccines mobilize poly-specific therapeutic immunity against cancer. Nature. 2017;547(7662):222–226.</w:t>
      </w:r>
    </w:p>
    <w:p w14:paraId="2ED462D7" w14:textId="77777777" w:rsidR="00A048CA" w:rsidRDefault="001E007D">
      <w:pPr>
        <w:spacing w:after="120"/>
        <w:ind w:left="640" w:hanging="360"/>
      </w:pPr>
      <w:r>
        <w:rPr>
          <w:b/>
          <w:bCs/>
          <w:sz w:val="20"/>
          <w:szCs w:val="20"/>
        </w:rPr>
        <w:t xml:space="preserve">11.  </w:t>
      </w:r>
      <w:r>
        <w:rPr>
          <w:sz w:val="20"/>
          <w:szCs w:val="20"/>
        </w:rPr>
        <w:t>Zehn D, Lee SY, Bevan MJ. Complete but curtailed T-cell response to very low-affinity antigen. Nature. 2009;458(7235):211–214.</w:t>
      </w:r>
    </w:p>
    <w:p w14:paraId="2ED462D8" w14:textId="77777777" w:rsidR="00A048CA" w:rsidRDefault="001E007D">
      <w:pPr>
        <w:spacing w:after="120"/>
        <w:ind w:left="640" w:hanging="360"/>
      </w:pPr>
      <w:r>
        <w:rPr>
          <w:b/>
          <w:bCs/>
          <w:sz w:val="20"/>
          <w:szCs w:val="20"/>
        </w:rPr>
        <w:lastRenderedPageBreak/>
        <w:t xml:space="preserve">12.  </w:t>
      </w:r>
      <w:r>
        <w:rPr>
          <w:sz w:val="20"/>
          <w:szCs w:val="20"/>
        </w:rPr>
        <w:t>Tawbi HA, Schadendorf D, Lipson EJ, et al. Relatlimab and nivolumab versus nivolumab in untreated advanced melanoma. N Engl J Med. 2022;386(1):24–34.</w:t>
      </w:r>
    </w:p>
    <w:sectPr w:rsidR="00A048CA">
      <w:headerReference w:type="default" r:id="rId10"/>
      <w:footerReference w:type="default" r:id="rId11"/>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123EA" w14:textId="77777777" w:rsidR="001E007D" w:rsidRDefault="001E007D">
      <w:r>
        <w:separator/>
      </w:r>
    </w:p>
  </w:endnote>
  <w:endnote w:type="continuationSeparator" w:id="0">
    <w:p w14:paraId="1080CB6B" w14:textId="77777777" w:rsidR="001E007D" w:rsidRDefault="001E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62DA" w14:textId="77777777" w:rsidR="00A048CA" w:rsidRDefault="001E007D">
    <w:pPr>
      <w:pBdr>
        <w:top w:val="single" w:sz="4" w:space="4" w:color="1B3A5C"/>
      </w:pBdr>
      <w:tabs>
        <w:tab w:val="right" w:pos="9026"/>
      </w:tabs>
    </w:pPr>
    <w:r>
      <w:rPr>
        <w:color w:val="90A4AE"/>
        <w:sz w:val="18"/>
        <w:szCs w:val="18"/>
      </w:rPr>
      <w:t>Tumor Immunology — Recitation 7</w:t>
    </w:r>
    <w:r>
      <w:rPr>
        <w:sz w:val="18"/>
        <w:szCs w:val="18"/>
      </w:rPr>
      <w:tab/>
    </w:r>
    <w:r>
      <w:rPr>
        <w:color w:val="90A4AE"/>
        <w:sz w:val="18"/>
        <w:szCs w:val="18"/>
      </w:rPr>
      <w:t xml:space="preserve">Page </w:t>
    </w:r>
    <w:r>
      <w:rPr>
        <w:color w:val="90A4AE"/>
        <w:sz w:val="18"/>
        <w:szCs w:val="18"/>
      </w:rPr>
      <w:fldChar w:fldCharType="begin"/>
    </w:r>
    <w:r>
      <w:rPr>
        <w:color w:val="90A4AE"/>
        <w:sz w:val="18"/>
        <w:szCs w:val="18"/>
      </w:rPr>
      <w:instrText xml:space="preserve"> PAGE </w:instrText>
    </w:r>
    <w:r>
      <w:rPr>
        <w:color w:val="90A4AE"/>
        <w:sz w:val="18"/>
        <w:szCs w:val="18"/>
      </w:rPr>
      <w:fldChar w:fldCharType="separate"/>
    </w:r>
    <w:r>
      <w:rPr>
        <w:color w:val="90A4AE"/>
        <w:sz w:val="18"/>
        <w:szCs w:val="18"/>
      </w:rPr>
      <w:t>1</w:t>
    </w:r>
    <w:r>
      <w:rPr>
        <w:color w:val="90A4A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8805" w14:textId="77777777" w:rsidR="001E007D" w:rsidRDefault="001E007D">
      <w:r>
        <w:separator/>
      </w:r>
    </w:p>
  </w:footnote>
  <w:footnote w:type="continuationSeparator" w:id="0">
    <w:p w14:paraId="3AC99A08" w14:textId="77777777" w:rsidR="001E007D" w:rsidRDefault="001E0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62D9" w14:textId="77777777" w:rsidR="00A048CA" w:rsidRDefault="001E007D">
    <w:pPr>
      <w:pBdr>
        <w:bottom w:val="single" w:sz="4" w:space="4" w:color="1B3A5C"/>
      </w:pBdr>
      <w:spacing w:after="60"/>
    </w:pPr>
    <w:r>
      <w:rPr>
        <w:i/>
        <w:iCs/>
        <w:color w:val="607D8B"/>
        <w:sz w:val="18"/>
        <w:szCs w:val="18"/>
      </w:rPr>
      <w:t>CD8⁺ T Cell Fate and Tumor Immunotherapy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23D53"/>
    <w:multiLevelType w:val="hybridMultilevel"/>
    <w:tmpl w:val="9B602678"/>
    <w:lvl w:ilvl="0" w:tplc="34843D32">
      <w:start w:val="1"/>
      <w:numFmt w:val="bullet"/>
      <w:lvlText w:val="●"/>
      <w:lvlJc w:val="left"/>
      <w:pPr>
        <w:ind w:left="720" w:hanging="360"/>
      </w:pPr>
    </w:lvl>
    <w:lvl w:ilvl="1" w:tplc="1584CFD8">
      <w:start w:val="1"/>
      <w:numFmt w:val="bullet"/>
      <w:lvlText w:val="○"/>
      <w:lvlJc w:val="left"/>
      <w:pPr>
        <w:ind w:left="1440" w:hanging="360"/>
      </w:pPr>
    </w:lvl>
    <w:lvl w:ilvl="2" w:tplc="4BD450E4">
      <w:start w:val="1"/>
      <w:numFmt w:val="bullet"/>
      <w:lvlText w:val="■"/>
      <w:lvlJc w:val="left"/>
      <w:pPr>
        <w:ind w:left="2160" w:hanging="360"/>
      </w:pPr>
    </w:lvl>
    <w:lvl w:ilvl="3" w:tplc="B232B40C">
      <w:start w:val="1"/>
      <w:numFmt w:val="bullet"/>
      <w:lvlText w:val="●"/>
      <w:lvlJc w:val="left"/>
      <w:pPr>
        <w:ind w:left="2880" w:hanging="360"/>
      </w:pPr>
    </w:lvl>
    <w:lvl w:ilvl="4" w:tplc="E0AE1764">
      <w:start w:val="1"/>
      <w:numFmt w:val="bullet"/>
      <w:lvlText w:val="○"/>
      <w:lvlJc w:val="left"/>
      <w:pPr>
        <w:ind w:left="3600" w:hanging="360"/>
      </w:pPr>
    </w:lvl>
    <w:lvl w:ilvl="5" w:tplc="A3BC132C">
      <w:start w:val="1"/>
      <w:numFmt w:val="bullet"/>
      <w:lvlText w:val="■"/>
      <w:lvlJc w:val="left"/>
      <w:pPr>
        <w:ind w:left="4320" w:hanging="360"/>
      </w:pPr>
    </w:lvl>
    <w:lvl w:ilvl="6" w:tplc="D44AD328">
      <w:start w:val="1"/>
      <w:numFmt w:val="bullet"/>
      <w:lvlText w:val="●"/>
      <w:lvlJc w:val="left"/>
      <w:pPr>
        <w:ind w:left="5040" w:hanging="360"/>
      </w:pPr>
    </w:lvl>
    <w:lvl w:ilvl="7" w:tplc="2CE4A020">
      <w:start w:val="1"/>
      <w:numFmt w:val="bullet"/>
      <w:lvlText w:val="●"/>
      <w:lvlJc w:val="left"/>
      <w:pPr>
        <w:ind w:left="5760" w:hanging="360"/>
      </w:pPr>
    </w:lvl>
    <w:lvl w:ilvl="8" w:tplc="5D1A00A8">
      <w:start w:val="1"/>
      <w:numFmt w:val="bullet"/>
      <w:lvlText w:val="●"/>
      <w:lvlJc w:val="left"/>
      <w:pPr>
        <w:ind w:left="6480" w:hanging="360"/>
      </w:pPr>
    </w:lvl>
  </w:abstractNum>
  <w:num w:numId="1" w16cid:durableId="1623418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8CA"/>
    <w:rsid w:val="001E007D"/>
    <w:rsid w:val="002F3EB0"/>
    <w:rsid w:val="00A048CA"/>
    <w:rsid w:val="00D20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6279"/>
  <w15:docId w15:val="{CCAC6B23-525A-4B3C-B20D-640EBBA7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B3A5C"/>
      <w:sz w:val="28"/>
      <w:szCs w:val="28"/>
    </w:rPr>
  </w:style>
  <w:style w:type="paragraph" w:styleId="Heading2">
    <w:name w:val="heading 2"/>
    <w:uiPriority w:val="9"/>
    <w:unhideWhenUsed/>
    <w:qFormat/>
    <w:pPr>
      <w:spacing w:before="260" w:after="12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A08FA5C326814F817E4FEB885238B2" ma:contentTypeVersion="12" ma:contentTypeDescription="Create a new document." ma:contentTypeScope="" ma:versionID="bf3de83d642c0e01a64502396fc5c2fa">
  <xsd:schema xmlns:xsd="http://www.w3.org/2001/XMLSchema" xmlns:xs="http://www.w3.org/2001/XMLSchema" xmlns:p="http://schemas.microsoft.com/office/2006/metadata/properties" xmlns:ns2="0a900be4-3466-44f0-8430-116a3d267e47" xmlns:ns3="02cdf11d-2c4d-4823-a6bf-8e5048390f3c" targetNamespace="http://schemas.microsoft.com/office/2006/metadata/properties" ma:root="true" ma:fieldsID="b5ca49283c265a21ee4737c1932731dd" ns2:_="" ns3:_="">
    <xsd:import namespace="0a900be4-3466-44f0-8430-116a3d267e47"/>
    <xsd:import namespace="02cdf11d-2c4d-4823-a6bf-8e5048390f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00be4-3466-44f0-8430-116a3d267e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978abb-16d7-43ba-9d2e-4710fb404f9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cdf11d-2c4d-4823-a6bf-8e5048390f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1c5a91-7e74-446a-bef2-1aa7614a796c}" ma:internalName="TaxCatchAll" ma:showField="CatchAllData" ma:web="02cdf11d-2c4d-4823-a6bf-8e5048390f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900be4-3466-44f0-8430-116a3d267e47">
      <Terms xmlns="http://schemas.microsoft.com/office/infopath/2007/PartnerControls"/>
    </lcf76f155ced4ddcb4097134ff3c332f>
    <TaxCatchAll xmlns="02cdf11d-2c4d-4823-a6bf-8e5048390f3c" xsi:nil="true"/>
  </documentManagement>
</p:properties>
</file>

<file path=customXml/itemProps1.xml><?xml version="1.0" encoding="utf-8"?>
<ds:datastoreItem xmlns:ds="http://schemas.openxmlformats.org/officeDocument/2006/customXml" ds:itemID="{44CC8195-8B13-4FB8-A2A3-BCC60E2F1250}">
  <ds:schemaRefs>
    <ds:schemaRef ds:uri="http://schemas.microsoft.com/sharepoint/v3/contenttype/forms"/>
  </ds:schemaRefs>
</ds:datastoreItem>
</file>

<file path=customXml/itemProps2.xml><?xml version="1.0" encoding="utf-8"?>
<ds:datastoreItem xmlns:ds="http://schemas.openxmlformats.org/officeDocument/2006/customXml" ds:itemID="{AC387FF6-DF12-457F-958D-0356363BD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00be4-3466-44f0-8430-116a3d267e47"/>
    <ds:schemaRef ds:uri="02cdf11d-2c4d-4823-a6bf-8e5048390f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B9791-6F76-42D7-8395-0BBFA2CC6221}">
  <ds:schemaRefs>
    <ds:schemaRef ds:uri="http://schemas.microsoft.com/office/2006/metadata/properties"/>
    <ds:schemaRef ds:uri="http://schemas.microsoft.com/office/infopath/2007/PartnerControls"/>
    <ds:schemaRef ds:uri="0a900be4-3466-44f0-8430-116a3d267e47"/>
    <ds:schemaRef ds:uri="02cdf11d-2c4d-4823-a6bf-8e5048390f3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4748</Words>
  <Characters>27068</Characters>
  <Application>Microsoft Office Word</Application>
  <DocSecurity>0</DocSecurity>
  <Lines>225</Lines>
  <Paragraphs>63</Paragraphs>
  <ScaleCrop>false</ScaleCrop>
  <Company/>
  <LinksUpToDate>false</LinksUpToDate>
  <CharactersWithSpaces>31753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Al Loman</cp:lastModifiedBy>
  <cp:revision>2</cp:revision>
  <dcterms:created xsi:type="dcterms:W3CDTF">2026-03-07T17:52:00Z</dcterms:created>
  <dcterms:modified xsi:type="dcterms:W3CDTF">2026-03-09T22:50:00Z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0x01010089A08FA5C326814F817E4FEB885238B2</vt:lpwstr>
  </property>
  <property fmtid="{D5CDD505-2E9C-101B-9397-08002B2CF9AE}" pid="3" name="MediaServiceImageTags">
    <vt:lpwstr/>
  </property>
</Properties>
</file>