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14126" w14:textId="00A1C58A" w:rsidR="00975380" w:rsidRDefault="00000000">
      <w:r>
        <w:rPr>
          <w:b/>
          <w:sz w:val="28"/>
        </w:rPr>
        <w:t>CD8+ T Cell Fate in Infection and Cancer: Effector Function, Memory, and Exhaustion</w:t>
      </w:r>
    </w:p>
    <w:p w14:paraId="286D421F" w14:textId="77777777" w:rsidR="00975380" w:rsidRDefault="00975380"/>
    <w:p w14:paraId="028E67B9" w14:textId="77777777" w:rsidR="00975380" w:rsidRDefault="00000000">
      <w:pPr>
        <w:rPr>
          <w:b/>
        </w:rPr>
      </w:pPr>
      <w:r>
        <w:rPr>
          <w:b/>
        </w:rPr>
        <w:t>Author: Om Sanan</w:t>
      </w:r>
    </w:p>
    <w:p w14:paraId="60BB805C" w14:textId="77777777" w:rsidR="002B4454" w:rsidRDefault="002B4454"/>
    <w:p w14:paraId="2C2DCA1F" w14:textId="77777777" w:rsidR="00975380" w:rsidRDefault="00000000">
      <w:r>
        <w:rPr>
          <w:b/>
        </w:rPr>
        <w:t>Abstract</w:t>
      </w:r>
    </w:p>
    <w:p w14:paraId="3A6BD79D" w14:textId="77777777" w:rsidR="00BF4AF2" w:rsidRDefault="00BF4AF2"/>
    <w:p w14:paraId="73AFDDA7" w14:textId="304DF990" w:rsidR="00975380" w:rsidRDefault="00000000">
      <w:r>
        <w:t>CD8+ T cells can follow three broad paths after antigen encounter: they can become short</w:t>
      </w:r>
      <w:r w:rsidR="002B4454">
        <w:t xml:space="preserve"> </w:t>
      </w:r>
      <w:r>
        <w:t>lived effector</w:t>
      </w:r>
      <w:r w:rsidR="002B4454">
        <w:t xml:space="preserve"> cells</w:t>
      </w:r>
      <w:r>
        <w:t>, long</w:t>
      </w:r>
      <w:r w:rsidR="002B4454">
        <w:t xml:space="preserve"> </w:t>
      </w:r>
      <w:r>
        <w:t>lived memory</w:t>
      </w:r>
      <w:r w:rsidR="002B4454">
        <w:t xml:space="preserve"> cells</w:t>
      </w:r>
      <w:r>
        <w:t xml:space="preserve">, or progress into exhaustion </w:t>
      </w:r>
      <w:r w:rsidR="002B4454">
        <w:t>after persistent stimulation</w:t>
      </w:r>
      <w:r>
        <w:t xml:space="preserve">. </w:t>
      </w:r>
      <w:r w:rsidR="002B4454">
        <w:t>Such a</w:t>
      </w:r>
      <w:r>
        <w:t xml:space="preserve"> distinction is especially important in cancer, where tumours may contain many antigen</w:t>
      </w:r>
      <w:r w:rsidR="002B4454">
        <w:t xml:space="preserve"> </w:t>
      </w:r>
      <w:r>
        <w:t>specific T cells and still avoid destruction. This paper reviews the main CD8+ T cell fates, the signals that bias those outcomes during priming, the role of CD4+ help, and why lower</w:t>
      </w:r>
      <w:r w:rsidR="002B4454">
        <w:t xml:space="preserve"> </w:t>
      </w:r>
      <w:r>
        <w:t xml:space="preserve">affinity clones often contribute disproportionately to memory. It then uses </w:t>
      </w:r>
      <w:r w:rsidR="002B4454">
        <w:t>this</w:t>
      </w:r>
      <w:r>
        <w:t xml:space="preserve"> framework to explain why </w:t>
      </w:r>
      <w:r w:rsidR="002B4454">
        <w:t>tumors</w:t>
      </w:r>
      <w:r>
        <w:t xml:space="preserve"> </w:t>
      </w:r>
      <w:r w:rsidR="002B4454">
        <w:t>lead to</w:t>
      </w:r>
      <w:r>
        <w:t xml:space="preserve"> exhaustion and why checkpoint blockade helps only part of the dysfunctional T cell </w:t>
      </w:r>
      <w:r w:rsidR="00C442C4">
        <w:t>group</w:t>
      </w:r>
      <w:r>
        <w:t>.</w:t>
      </w:r>
    </w:p>
    <w:p w14:paraId="4BBB6FD6" w14:textId="77777777" w:rsidR="002B4454" w:rsidRDefault="002B4454"/>
    <w:p w14:paraId="3CD75112" w14:textId="252D79D7" w:rsidR="00975380" w:rsidRDefault="00000000">
      <w:r>
        <w:rPr>
          <w:b/>
        </w:rPr>
        <w:t xml:space="preserve">Introduction: Why </w:t>
      </w:r>
      <w:proofErr w:type="spellStart"/>
      <w:r>
        <w:rPr>
          <w:b/>
        </w:rPr>
        <w:t>Tumour</w:t>
      </w:r>
      <w:proofErr w:type="spellEnd"/>
      <w:r w:rsidR="00F9602E">
        <w:rPr>
          <w:b/>
        </w:rPr>
        <w:t xml:space="preserve"> </w:t>
      </w:r>
      <w:r>
        <w:rPr>
          <w:b/>
        </w:rPr>
        <w:t>Infiltrating T Cells Often Fail</w:t>
      </w:r>
    </w:p>
    <w:p w14:paraId="3DEFB70B" w14:textId="77777777" w:rsidR="00BF4AF2" w:rsidRDefault="00BF4AF2"/>
    <w:p w14:paraId="2B4DEDB1" w14:textId="25DA2CA7" w:rsidR="00975380" w:rsidRDefault="00000000">
      <w:r>
        <w:t>A basic paradox of tumour immunology is that T cells can be present in a tumour without controlling it. Ovarian cancer was one of the early examples that made this clear as patients could have clear T cell infiltration and still experience progression (1). The key issue is therefore not just whether T cells are present, but what state those cells are in.</w:t>
      </w:r>
    </w:p>
    <w:p w14:paraId="7794E320" w14:textId="77777777" w:rsidR="00BF4AF2" w:rsidRDefault="00BF4AF2"/>
    <w:p w14:paraId="67A46415" w14:textId="2AFF1CB7" w:rsidR="00975380" w:rsidRDefault="00000000">
      <w:r>
        <w:t>That problem became easier to interpret once exhaustion was described in chronic infection (5). In chronic LCMV infection, virus specific CD8+ T cells persisted but subsequently gradually lost function rather than clearing the virus (5). Solid tumors are similar: antigen persists, inhibitory signals accumulate, and antigen presentation is often distorted. Under those conditions, CD8+ T cells are pushed away from effector or memory states and toward exhaustion (5,6).</w:t>
      </w:r>
    </w:p>
    <w:p w14:paraId="0A312ADB" w14:textId="77777777" w:rsidR="00BF4AF2" w:rsidRDefault="00BF4AF2"/>
    <w:p w14:paraId="5FEB8AB0" w14:textId="77777777" w:rsidR="00BF4AF2" w:rsidRDefault="00BF4AF2"/>
    <w:p w14:paraId="28A07018" w14:textId="77777777" w:rsidR="00975380" w:rsidRDefault="00000000">
      <w:pPr>
        <w:rPr>
          <w:b/>
        </w:rPr>
      </w:pPr>
      <w:r>
        <w:rPr>
          <w:b/>
        </w:rPr>
        <w:t>The Three Main Fates of CD8+ T Cells</w:t>
      </w:r>
    </w:p>
    <w:p w14:paraId="7963686A" w14:textId="77777777" w:rsidR="00BF4AF2" w:rsidRDefault="00BF4AF2"/>
    <w:p w14:paraId="2DF902DD" w14:textId="77777777" w:rsidR="00975380" w:rsidRDefault="00000000">
      <w:r>
        <w:rPr>
          <w:b/>
        </w:rPr>
        <w:t>Effector Cells</w:t>
      </w:r>
    </w:p>
    <w:p w14:paraId="44EFB053" w14:textId="2E955F08" w:rsidR="00975380" w:rsidRDefault="00000000">
      <w:r>
        <w:t>Strong activation can drive CD8+ T cells into a cytotoxic effector state. These cells expand rapidly, produce perforin and granzymes, and secrete IFN-γ and TNF-α to kill infected or malignant targets. Their metabolic program is built for speed rather than longevity, so after antigen clears, most of the expanded population dies during contraction. Effector differentiation is therefore excellent for immediate control, but it is usually not the method to attain longer term persistence (2,3).</w:t>
      </w:r>
    </w:p>
    <w:p w14:paraId="06FE9133" w14:textId="77777777" w:rsidR="00BF4AF2" w:rsidRDefault="00BF4AF2"/>
    <w:p w14:paraId="3A4C4A67" w14:textId="77777777" w:rsidR="00975380" w:rsidRDefault="00000000">
      <w:r>
        <w:rPr>
          <w:b/>
        </w:rPr>
        <w:t>Memory Cells</w:t>
      </w:r>
    </w:p>
    <w:p w14:paraId="1BCF1AA0" w14:textId="6D400A18" w:rsidR="00975380" w:rsidRDefault="00000000">
      <w:r>
        <w:t xml:space="preserve">Memory CD8+ T cells survive without continuous antigen, self-renew in response to IL-7 and IL-15, and respond faster on re-exposure. This state depends on a transcription program that preserves long term potential, especially through factors like TCF-1 and FOXO1. Memory is also heterogeneous as central memory cells circulate through lymphoid tissues, effector memory </w:t>
      </w:r>
      <w:r>
        <w:lastRenderedPageBreak/>
        <w:t>cells patrol peripheral sites, and tissue-resident memory cells remain in barrier tissues. What unites them is that they preserve future immune capacity instead of spending everything during the first response (3,4).</w:t>
      </w:r>
    </w:p>
    <w:p w14:paraId="27E94EED" w14:textId="77777777" w:rsidR="00155085" w:rsidRDefault="00155085"/>
    <w:p w14:paraId="733D315B" w14:textId="77777777" w:rsidR="00975380" w:rsidRDefault="00000000">
      <w:r>
        <w:rPr>
          <w:b/>
        </w:rPr>
        <w:t>Exhausted Cells</w:t>
      </w:r>
    </w:p>
    <w:p w14:paraId="0D9B69F8" w14:textId="4BEFDED9" w:rsidR="00975380" w:rsidRDefault="00000000">
      <w:r>
        <w:t>Exhaustion is not just weak activation. It is a state with its own transcriptional and epigenetic program. Exhausted CD8+ T cells progressively lose cytokine production and cytotoxic function while maintaining high expression of inhibitory receptors such as PD-1, TIM-3, and LAG-3. A major driver of this program is TOX, which is induced during chronic antigen exposure when NFAT remains active without enough AP-1 support (5,6).</w:t>
      </w:r>
    </w:p>
    <w:p w14:paraId="1074B947" w14:textId="77777777" w:rsidR="008337C7" w:rsidRDefault="008337C7"/>
    <w:p w14:paraId="1E3D16F4" w14:textId="6C5A314F" w:rsidR="00975380" w:rsidRDefault="00000000">
      <w:r>
        <w:t>The exhausted pool also has an internal hierarchy. Progenitor exhausted cells retain some self-renewal capacity, while terminally exhausted cells do not. This distinction matters significantly because checkpoint blockade mainly acts on the progenitor subset rather than fully restoring terminally exhausted cells. Once T cells have entered significant exhaustion, the changes are largely irreversible, which is why attempts to restore function after the fact tend to only partially work (7,8); the cells are subsequently stuck in that state.</w:t>
      </w:r>
    </w:p>
    <w:p w14:paraId="5307B551" w14:textId="77777777" w:rsidR="00EB5052" w:rsidRDefault="00EB5052"/>
    <w:p w14:paraId="6248114F" w14:textId="77777777" w:rsidR="008337C7" w:rsidRDefault="008337C7"/>
    <w:p w14:paraId="28A64989" w14:textId="77777777" w:rsidR="00975380" w:rsidRDefault="00000000">
      <w:pPr>
        <w:rPr>
          <w:b/>
        </w:rPr>
      </w:pPr>
      <w:r>
        <w:rPr>
          <w:b/>
        </w:rPr>
        <w:t>What the Priming Environment Determines</w:t>
      </w:r>
    </w:p>
    <w:p w14:paraId="597B37BC" w14:textId="77777777" w:rsidR="008337C7" w:rsidRDefault="008337C7"/>
    <w:p w14:paraId="0E5FDDC5" w14:textId="77777777" w:rsidR="00975380" w:rsidRDefault="00000000">
      <w:r>
        <w:rPr>
          <w:b/>
        </w:rPr>
        <w:t>TCR Signal Strength</w:t>
      </w:r>
    </w:p>
    <w:p w14:paraId="0ECB8F9C" w14:textId="50469C49" w:rsidR="00975380" w:rsidRDefault="00000000">
      <w:r>
        <w:t>TCR signal strength is one of the clearest determinants of fate. High affinity or long duration peptide-MHC engagement yields stronger signaling through pathways such as ZAP-70, ERK, NFAT, and PI3K-Akt-mTOR, which tends to favor effector differentiation. Lower intensity signaling is more correlated with memory formation. When antigen stimulation never stops, the T cell’s fate is not only determined by how strong the initial TCR signal was, but also by the fact that signaling persists indefinitely, and that sustained activation shifts the transcription program toward exhaustion rather than effector or memory states (3,5,6).</w:t>
      </w:r>
    </w:p>
    <w:p w14:paraId="09DB5C21" w14:textId="77777777" w:rsidR="00F82FFE" w:rsidRDefault="00F82FFE"/>
    <w:p w14:paraId="3250FA43" w14:textId="77777777" w:rsidR="00975380" w:rsidRDefault="00000000">
      <w:r>
        <w:rPr>
          <w:b/>
        </w:rPr>
        <w:t>Co-stimulation and Cytokines</w:t>
      </w:r>
    </w:p>
    <w:p w14:paraId="0605B923" w14:textId="588BB48A" w:rsidR="00F82FFE" w:rsidRDefault="00000000" w:rsidP="00F82FFE">
      <w:pPr>
        <w:pStyle w:val="NormalWeb"/>
      </w:pPr>
      <w:r>
        <w:t>Signal 1 from the TCR is not enough on its own. CD28 binding to CD80 or CD86 strengthens activation and supports survival, while poor stimulation can lead to weak priming or anergy</w:t>
      </w:r>
      <w:r w:rsidR="00F82FFE">
        <w:t xml:space="preserve"> (</w:t>
      </w:r>
      <w:r w:rsidR="00F82FFE" w:rsidRPr="00F82FFE">
        <w:t>absence of the normal immune response</w:t>
      </w:r>
      <w:r w:rsidR="00F82FFE">
        <w:t>)</w:t>
      </w:r>
      <w:r>
        <w:t xml:space="preserve">. Tumours often disrupt this step through CTLA-4 competition and regulatory T cell suppression of dendritic cells. </w:t>
      </w:r>
      <w:r w:rsidR="00F82FFE">
        <w:t>Pro-inflammatory cytokines like IL-12, type I interferons, and IL-2 increase effector differentiation by strengthening the inflammatory gene path, while in contrast, tumor</w:t>
      </w:r>
      <w:r w:rsidR="00681253">
        <w:t xml:space="preserve"> </w:t>
      </w:r>
      <w:r w:rsidR="00F82FFE">
        <w:t>derived cytokines such as TGF-</w:t>
      </w:r>
      <w:r w:rsidR="00681253" w:rsidRPr="00681253">
        <w:rPr>
          <w:rFonts w:ascii="Arial" w:hAnsi="Arial" w:cs="Arial"/>
          <w:b/>
          <w:bCs/>
          <w:color w:val="1F1F1F"/>
          <w:sz w:val="21"/>
          <w:szCs w:val="21"/>
          <w:shd w:val="clear" w:color="auto" w:fill="FFFFFF"/>
        </w:rPr>
        <w:t>β</w:t>
      </w:r>
      <w:r w:rsidR="00681253">
        <w:rPr>
          <w:rFonts w:ascii="Arial" w:hAnsi="Arial" w:cs="Arial"/>
          <w:b/>
          <w:bCs/>
          <w:color w:val="1F1F1F"/>
          <w:sz w:val="21"/>
          <w:szCs w:val="21"/>
          <w:shd w:val="clear" w:color="auto" w:fill="FFFFFF"/>
        </w:rPr>
        <w:t xml:space="preserve"> </w:t>
      </w:r>
      <w:r w:rsidR="00F82FFE">
        <w:t xml:space="preserve">and IL-10 suppress, </w:t>
      </w:r>
      <w:r w:rsidR="00681253">
        <w:t>pushing</w:t>
      </w:r>
      <w:r w:rsidR="00F82FFE">
        <w:t xml:space="preserve"> T cells toward exhaustion instead.</w:t>
      </w:r>
    </w:p>
    <w:p w14:paraId="3EDD9741" w14:textId="77777777" w:rsidR="009866F6" w:rsidRDefault="009866F6">
      <w:pPr>
        <w:rPr>
          <w:b/>
        </w:rPr>
      </w:pPr>
    </w:p>
    <w:p w14:paraId="25C51285" w14:textId="5C0820C2" w:rsidR="00975380" w:rsidRDefault="00000000">
      <w:pPr>
        <w:rPr>
          <w:b/>
        </w:rPr>
      </w:pPr>
      <w:r>
        <w:rPr>
          <w:b/>
        </w:rPr>
        <w:t>CD4+ T Cell Help</w:t>
      </w:r>
    </w:p>
    <w:p w14:paraId="6BF6E982" w14:textId="77777777" w:rsidR="009866F6" w:rsidRDefault="009866F6"/>
    <w:p w14:paraId="14642C78" w14:textId="2C9398B9" w:rsidR="00975380" w:rsidRDefault="00000000">
      <w:r>
        <w:t xml:space="preserve">CD4+ help is extremely important because it often determines whether a CD8+ response becomes long lasting and functional. Activated CD4+ T cells license dendritic cells using CD40L-CD40 interactions, increasing co-stimulation, IL-12 production, and the quality of CD8+ </w:t>
      </w:r>
      <w:r>
        <w:lastRenderedPageBreak/>
        <w:t>priming (9). They also provide cytokines, especially IL-2, that support expansion and memory formation. Without that help, CD8+ responses are often weaker and less persistent, and they subsequently fail to build a durable pool.</w:t>
      </w:r>
    </w:p>
    <w:p w14:paraId="3D5B5795" w14:textId="77777777" w:rsidR="00D755CB" w:rsidRDefault="00D755CB"/>
    <w:p w14:paraId="620ABB41" w14:textId="03534EE0" w:rsidR="00975380" w:rsidRDefault="00000000">
      <w:r>
        <w:t>This matters directly for tumour immunity and for vaccine design. In tumours, helper function is often weakened by regulatory T cells and poor antigen presentation. In vaccines, class I-restricted CD8+ priming alone is usually not enough. More persistent strategies include class II helper epitopes and adjuvants that activate dendritic cells strongly enough to support both CD4+ and CD8+ responses (10).</w:t>
      </w:r>
    </w:p>
    <w:p w14:paraId="45D68FE2" w14:textId="77777777" w:rsidR="00633024" w:rsidRDefault="00633024"/>
    <w:p w14:paraId="59A1829C" w14:textId="77777777" w:rsidR="00633024" w:rsidRDefault="00633024"/>
    <w:p w14:paraId="50BE8747" w14:textId="77777777" w:rsidR="00975380" w:rsidRDefault="00000000">
      <w:pPr>
        <w:rPr>
          <w:b/>
        </w:rPr>
      </w:pPr>
      <w:r>
        <w:rPr>
          <w:b/>
        </w:rPr>
        <w:t>Why the Memory Pool Often Comes from Lower-Affinity Clones</w:t>
      </w:r>
    </w:p>
    <w:p w14:paraId="5E8BE67C" w14:textId="77777777" w:rsidR="00633024" w:rsidRDefault="00633024"/>
    <w:p w14:paraId="38588064" w14:textId="72E5F610" w:rsidR="00975380" w:rsidRDefault="00000000">
      <w:r>
        <w:t>At first look, one might expect the highest affinity clones to dominate both the primary response and the memory pool. Realistically, these are not always the same thing. Altered peptide ligand experiments showed that lower affinity stimulation can produce smaller peak expansion but better long term representation in memory (11). High affinity clones are pushed harder toward terminal effector differentiation and contraction, while lower affinity clones often remain in a state that is more compatible with long term survival.</w:t>
      </w:r>
    </w:p>
    <w:p w14:paraId="41032613" w14:textId="77777777" w:rsidR="00633024" w:rsidRDefault="00633024"/>
    <w:p w14:paraId="36424EC0" w14:textId="72C5F569" w:rsidR="00975380" w:rsidRDefault="00000000">
      <w:r>
        <w:t>There is also a functional advantage to preserving moderate</w:t>
      </w:r>
      <w:r w:rsidR="009D3151">
        <w:t xml:space="preserve"> </w:t>
      </w:r>
      <w:r>
        <w:t xml:space="preserve">affinity clones. </w:t>
      </w:r>
      <w:r w:rsidR="009D3151" w:rsidRPr="009D3151">
        <w:t xml:space="preserve">They </w:t>
      </w:r>
      <w:r w:rsidR="009D3151">
        <w:t>often</w:t>
      </w:r>
      <w:r w:rsidR="009D3151" w:rsidRPr="009D3151">
        <w:t xml:space="preserve"> recognize a wider range of related antigens rather than being narrowly locked onto one specific target</w:t>
      </w:r>
      <w:r>
        <w:t xml:space="preserve">, which matters when pathogens mutate or </w:t>
      </w:r>
      <w:proofErr w:type="spellStart"/>
      <w:r>
        <w:t>tumours</w:t>
      </w:r>
      <w:proofErr w:type="spellEnd"/>
      <w:r>
        <w:t xml:space="preserve"> change. A broad memory pool is therefore more resilient than one dominated by a few narrowly focused clones. In this sense, the immune system is balancing </w:t>
      </w:r>
      <w:r w:rsidR="005023FD">
        <w:t>strength and flexibility</w:t>
      </w:r>
      <w:r>
        <w:t>.</w:t>
      </w:r>
    </w:p>
    <w:p w14:paraId="71D14138" w14:textId="77777777" w:rsidR="00633024" w:rsidRDefault="00633024"/>
    <w:p w14:paraId="73C6BA8B" w14:textId="77777777" w:rsidR="00633024" w:rsidRDefault="00633024"/>
    <w:p w14:paraId="28D3EE19" w14:textId="77777777" w:rsidR="00975380" w:rsidRDefault="00000000">
      <w:pPr>
        <w:rPr>
          <w:b/>
        </w:rPr>
      </w:pPr>
      <w:r>
        <w:rPr>
          <w:b/>
        </w:rPr>
        <w:t xml:space="preserve">Exhaustion in </w:t>
      </w:r>
      <w:proofErr w:type="spellStart"/>
      <w:r>
        <w:rPr>
          <w:b/>
        </w:rPr>
        <w:t>Tumours</w:t>
      </w:r>
      <w:proofErr w:type="spellEnd"/>
      <w:r>
        <w:rPr>
          <w:b/>
        </w:rPr>
        <w:t xml:space="preserve"> and Checkpoint Blockade</w:t>
      </w:r>
    </w:p>
    <w:p w14:paraId="5F157AEA" w14:textId="77777777" w:rsidR="00396C08" w:rsidRDefault="00396C08"/>
    <w:p w14:paraId="65620075" w14:textId="0FDAA9DD" w:rsidR="00975380" w:rsidRDefault="00000000">
      <w:r>
        <w:t>Tumours create nearly every condition known to favor exhaustion, specifically persistent antigens, suppressive cytokines, regulatory T cell activity, poor dendritic cell support, and metabolic stress. The result is a group of CD8+ T cells that can still be present and antigen-specific, yet still ineffective. This is why tumour infiltration alone is such an incomplete predictor of control (5,6,7).</w:t>
      </w:r>
    </w:p>
    <w:p w14:paraId="0BF93A4E" w14:textId="77777777" w:rsidR="00923F9D" w:rsidRDefault="00923F9D"/>
    <w:p w14:paraId="7BB87E5D" w14:textId="60EC4200" w:rsidR="00975380" w:rsidRDefault="00000000">
      <w:r>
        <w:t>Checkpoint blockade tries to interrupt that state rather than prevent it from emerging. Anti-PD-1 and anti-PD-L1 mainly act on progenitor exhausted cells that still retain developmental potential (8). Anti-CTLA-4 works earlier and more proximally by improving access to co-stimulation and sometimes reducing regulatory T cell mediated suppression. Newer combinations such as PD-1 plus LAG-3 blockade reflect the same logic of layered inhibition and have subsequently shown value in melanoma (12).</w:t>
      </w:r>
    </w:p>
    <w:p w14:paraId="6FD4AB45" w14:textId="186AF564" w:rsidR="00975380" w:rsidRDefault="00000000">
      <w:r>
        <w:t>These therapies still have clear limits. If a tumour has lost MHC class I, if IFN-γ signaling is defective, if T cells cannot enter the tissue, or if most of the tumour environment population is already terminally exhausted, checkpoint blockade will have limited effect.</w:t>
      </w:r>
    </w:p>
    <w:p w14:paraId="6CE913B2" w14:textId="77777777" w:rsidR="00353CB2" w:rsidRDefault="00353CB2"/>
    <w:p w14:paraId="1E23C909" w14:textId="77777777" w:rsidR="00353CB2" w:rsidRDefault="00353CB2"/>
    <w:p w14:paraId="4CBB6F13" w14:textId="77777777" w:rsidR="00975380" w:rsidRDefault="00000000">
      <w:pPr>
        <w:rPr>
          <w:b/>
        </w:rPr>
      </w:pPr>
      <w:r>
        <w:rPr>
          <w:b/>
        </w:rPr>
        <w:lastRenderedPageBreak/>
        <w:t>Conclusion</w:t>
      </w:r>
    </w:p>
    <w:p w14:paraId="36810FF6" w14:textId="77777777" w:rsidR="006D5465" w:rsidRDefault="006D5465"/>
    <w:p w14:paraId="4DA1133A" w14:textId="77777777" w:rsidR="00975380" w:rsidRDefault="00000000">
      <w:r>
        <w:t>CD8+ T cell fate depends on the quality of the first response and on whether antigen disappears or persists. TCR signal strength, co-stimulation, cytokines, and CD4+ help together determine whether a cell becomes an effector, enters memory, or progresses into exhaustion.</w:t>
      </w:r>
    </w:p>
    <w:p w14:paraId="376B846B" w14:textId="77777777" w:rsidR="00975380" w:rsidRDefault="00000000">
      <w:r>
        <w:t xml:space="preserve">That framework helps explain why tumours can contain many T cells and still progress, why memory is often built from clones that were not the strongest initial binders, and why checkpoint blockade helps only part of the dysfunctional pool. Effective immunotherapy therefore </w:t>
      </w:r>
      <w:proofErr w:type="gramStart"/>
      <w:r>
        <w:t>has to</w:t>
      </w:r>
      <w:proofErr w:type="gramEnd"/>
      <w:r>
        <w:t xml:space="preserve"> shape fate early and preserve useful states over time, not simply generate more T cells.</w:t>
      </w:r>
    </w:p>
    <w:p w14:paraId="165AC695" w14:textId="77777777" w:rsidR="00353CB2" w:rsidRDefault="00353CB2"/>
    <w:p w14:paraId="10E91D18" w14:textId="77777777" w:rsidR="005D776B" w:rsidRDefault="005D776B">
      <w:pPr>
        <w:rPr>
          <w:b/>
        </w:rPr>
      </w:pPr>
    </w:p>
    <w:p w14:paraId="74CE3351" w14:textId="2BBF0240" w:rsidR="00353CB2" w:rsidRDefault="00353CB2">
      <w:r>
        <w:rPr>
          <w:b/>
        </w:rPr>
        <w:t>References</w:t>
      </w:r>
    </w:p>
    <w:p w14:paraId="1C112CD0" w14:textId="77777777" w:rsidR="00975380" w:rsidRDefault="00000000">
      <w:r>
        <w:rPr>
          <w:b/>
        </w:rPr>
        <w:t xml:space="preserve">1.  </w:t>
      </w:r>
      <w:r>
        <w:t>Zhang L, Conejo-Garcia JR, Katsaros D, et al. Intratumoral T cells, recurrence, and survival in epithelial ovarian cancer. N Engl J Med. 2003;348(3):203-213.</w:t>
      </w:r>
    </w:p>
    <w:p w14:paraId="59F0DF3C" w14:textId="77777777" w:rsidR="00975380" w:rsidRDefault="00000000">
      <w:r>
        <w:rPr>
          <w:b/>
        </w:rPr>
        <w:t xml:space="preserve">2.  </w:t>
      </w:r>
      <w:r>
        <w:t>Murali-Krishna K, Altman JD, Suresh M, et al. Counting antigen-specific CD8 T cells: a reevaluation of bystander activation during viral infection. Immunity. 1998;8(2):177-187.</w:t>
      </w:r>
    </w:p>
    <w:p w14:paraId="08B0D911" w14:textId="77777777" w:rsidR="00975380" w:rsidRDefault="00000000">
      <w:r>
        <w:rPr>
          <w:b/>
        </w:rPr>
        <w:t xml:space="preserve">3.  </w:t>
      </w:r>
      <w:r>
        <w:t>Kaech SM, Cui W. Transcriptional control of effector and memory CD8+ T cell differentiation. Nat Rev Immunol. 2012;12(11):749-761.</w:t>
      </w:r>
    </w:p>
    <w:p w14:paraId="0384139B" w14:textId="77777777" w:rsidR="00975380" w:rsidRDefault="00000000">
      <w:r>
        <w:rPr>
          <w:b/>
        </w:rPr>
        <w:t xml:space="preserve">4.  </w:t>
      </w:r>
      <w:r>
        <w:t>Zhou X, Yu S, Zhao DM, Harty JT, Badovinac VP, Xue HH. Differentiation and persistence of memory CD8+ T cells depend on T cell factor 1. Immunity. 2010;33(2):229-240.</w:t>
      </w:r>
    </w:p>
    <w:p w14:paraId="7CF0DE26" w14:textId="77777777" w:rsidR="00975380" w:rsidRDefault="00000000">
      <w:r>
        <w:rPr>
          <w:b/>
        </w:rPr>
        <w:t xml:space="preserve">5.  </w:t>
      </w:r>
      <w:r>
        <w:t>McLane LM, Abdel-Hakeem MS, Wherry EJ. CD8 T cell exhaustion during chronic viral infection and cancer. Annu Rev Immunol. 2019;37:457-495.</w:t>
      </w:r>
    </w:p>
    <w:p w14:paraId="3F874487" w14:textId="77777777" w:rsidR="00975380" w:rsidRDefault="00000000">
      <w:r>
        <w:t>6.  Scott AC, Dundar F, Zumbo P, et al. TOX is a critical regulator of tumour-specific T cell differentiation. Nature. 2019;571(7764):270-274.</w:t>
      </w:r>
    </w:p>
    <w:p w14:paraId="435CB819" w14:textId="77777777" w:rsidR="00975380" w:rsidRDefault="00000000">
      <w:r>
        <w:rPr>
          <w:b/>
        </w:rPr>
        <w:t xml:space="preserve">7.  </w:t>
      </w:r>
      <w:r>
        <w:t>Pauken KE, Sammons MA, Odorizzi PM, et al. Epigenetic stability of exhausted T cells limits durability of reinvigoration by PD-1 blockade. Science. 2016;354(6316):1160-1165.</w:t>
      </w:r>
    </w:p>
    <w:p w14:paraId="570F74BE" w14:textId="77777777" w:rsidR="00975380" w:rsidRDefault="00000000">
      <w:r>
        <w:rPr>
          <w:b/>
        </w:rPr>
        <w:t xml:space="preserve">8.  </w:t>
      </w:r>
      <w:r>
        <w:t>Miller BC, Sen DR, Al Abosy R, et al. Subsets of exhausted CD8+ T cells differentially mediate tumor control and respond to checkpoint blockade. Nat Immunol. 2019;20(3):326-336.</w:t>
      </w:r>
    </w:p>
    <w:p w14:paraId="06FE78D0" w14:textId="77777777" w:rsidR="00975380" w:rsidRDefault="00000000">
      <w:r>
        <w:rPr>
          <w:b/>
        </w:rPr>
        <w:t xml:space="preserve">9.  </w:t>
      </w:r>
      <w:r>
        <w:t>Shedlock DJ, Shen H. Requirement for CD4 T cell help in generating functional CD8 T cell memory. Science. 2003;300(5617):337-339.</w:t>
      </w:r>
    </w:p>
    <w:p w14:paraId="6B6D8A98" w14:textId="77777777" w:rsidR="00975380" w:rsidRDefault="00000000">
      <w:r>
        <w:rPr>
          <w:b/>
        </w:rPr>
        <w:t xml:space="preserve">10.  </w:t>
      </w:r>
      <w:r>
        <w:t>Sahin U, Derhovanessian E, Miller M, et al. Personalized RNA mutanome vaccines mobilize poly-specific therapeutic immunity against cancer. Nature. 2017;547(7662):222-226.</w:t>
      </w:r>
    </w:p>
    <w:p w14:paraId="646ACA8C" w14:textId="77777777" w:rsidR="00975380" w:rsidRDefault="00000000">
      <w:r>
        <w:rPr>
          <w:b/>
        </w:rPr>
        <w:t xml:space="preserve">11.  </w:t>
      </w:r>
      <w:r>
        <w:t>Zehn D, Lee SY, Bevan MJ. Complete but curtailed T-cell response to very low-affinity antigen. Nature. 2009;458(7235):211-214.</w:t>
      </w:r>
    </w:p>
    <w:p w14:paraId="6FE95B43" w14:textId="77777777" w:rsidR="00975380" w:rsidRDefault="00000000">
      <w:r>
        <w:rPr>
          <w:b/>
        </w:rPr>
        <w:t xml:space="preserve">12.  </w:t>
      </w:r>
      <w:r>
        <w:t>Tawbi HA, Schadendorf D, Lipson EJ, et al. Relatlimab and nivolumab versus nivolumab in untreated advanced melanoma. N Engl J Med. 2022;386(1):24-34.</w:t>
      </w:r>
    </w:p>
    <w:sectPr w:rsidR="00975380"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A19C4" w14:textId="77777777" w:rsidR="00C13B04" w:rsidRDefault="00C13B04">
      <w:r>
        <w:separator/>
      </w:r>
    </w:p>
  </w:endnote>
  <w:endnote w:type="continuationSeparator" w:id="0">
    <w:p w14:paraId="36EC1E5E" w14:textId="77777777" w:rsidR="00C13B04" w:rsidRDefault="00C13B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C206F" w14:textId="77777777" w:rsidR="00975380" w:rsidRDefault="009753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D59AD" w14:textId="77777777" w:rsidR="00C13B04" w:rsidRDefault="00C13B04">
      <w:r>
        <w:separator/>
      </w:r>
    </w:p>
  </w:footnote>
  <w:footnote w:type="continuationSeparator" w:id="0">
    <w:p w14:paraId="1BA79E28" w14:textId="77777777" w:rsidR="00C13B04" w:rsidRDefault="00C13B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76888" w14:textId="77777777" w:rsidR="00975380" w:rsidRDefault="009753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6879822">
    <w:abstractNumId w:val="8"/>
  </w:num>
  <w:num w:numId="2" w16cid:durableId="1224826252">
    <w:abstractNumId w:val="6"/>
  </w:num>
  <w:num w:numId="3" w16cid:durableId="1299608486">
    <w:abstractNumId w:val="5"/>
  </w:num>
  <w:num w:numId="4" w16cid:durableId="223956731">
    <w:abstractNumId w:val="4"/>
  </w:num>
  <w:num w:numId="5" w16cid:durableId="835387774">
    <w:abstractNumId w:val="7"/>
  </w:num>
  <w:num w:numId="6" w16cid:durableId="1026100826">
    <w:abstractNumId w:val="3"/>
  </w:num>
  <w:num w:numId="7" w16cid:durableId="519513938">
    <w:abstractNumId w:val="2"/>
  </w:num>
  <w:num w:numId="8" w16cid:durableId="1014921754">
    <w:abstractNumId w:val="1"/>
  </w:num>
  <w:num w:numId="9" w16cid:durableId="1737976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6AA"/>
    <w:rsid w:val="0006063C"/>
    <w:rsid w:val="0015074B"/>
    <w:rsid w:val="00155085"/>
    <w:rsid w:val="001C553A"/>
    <w:rsid w:val="001D6A06"/>
    <w:rsid w:val="0029639D"/>
    <w:rsid w:val="002B4454"/>
    <w:rsid w:val="00326F90"/>
    <w:rsid w:val="00353CB2"/>
    <w:rsid w:val="00373764"/>
    <w:rsid w:val="00396C08"/>
    <w:rsid w:val="003A5613"/>
    <w:rsid w:val="003F4853"/>
    <w:rsid w:val="00484F6F"/>
    <w:rsid w:val="005023FD"/>
    <w:rsid w:val="00515BC5"/>
    <w:rsid w:val="005364CC"/>
    <w:rsid w:val="005D776B"/>
    <w:rsid w:val="00633024"/>
    <w:rsid w:val="00681253"/>
    <w:rsid w:val="006868CC"/>
    <w:rsid w:val="006D5465"/>
    <w:rsid w:val="00777936"/>
    <w:rsid w:val="007A6368"/>
    <w:rsid w:val="008337C7"/>
    <w:rsid w:val="008C2669"/>
    <w:rsid w:val="009064C7"/>
    <w:rsid w:val="00910927"/>
    <w:rsid w:val="00923F9D"/>
    <w:rsid w:val="009555CF"/>
    <w:rsid w:val="0096497A"/>
    <w:rsid w:val="00975380"/>
    <w:rsid w:val="009866F6"/>
    <w:rsid w:val="009B6F09"/>
    <w:rsid w:val="009B7052"/>
    <w:rsid w:val="009D3151"/>
    <w:rsid w:val="00AA1D8D"/>
    <w:rsid w:val="00AC1880"/>
    <w:rsid w:val="00B22A38"/>
    <w:rsid w:val="00B47730"/>
    <w:rsid w:val="00B700BE"/>
    <w:rsid w:val="00BF4AF2"/>
    <w:rsid w:val="00C13B04"/>
    <w:rsid w:val="00C442C4"/>
    <w:rsid w:val="00CB0664"/>
    <w:rsid w:val="00CC1BE9"/>
    <w:rsid w:val="00D532D1"/>
    <w:rsid w:val="00D755CB"/>
    <w:rsid w:val="00DB5539"/>
    <w:rsid w:val="00DC0D0E"/>
    <w:rsid w:val="00DD2EC7"/>
    <w:rsid w:val="00EB5052"/>
    <w:rsid w:val="00ED1815"/>
    <w:rsid w:val="00F45E6E"/>
    <w:rsid w:val="00F82FFE"/>
    <w:rsid w:val="00F960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260199"/>
  <w14:defaultImageDpi w14:val="300"/>
  <w15:docId w15:val="{2DD17316-D48C-9240-8E4B-4DB619E41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82FFE"/>
    <w:pPr>
      <w:spacing w:before="100" w:beforeAutospacing="1" w:after="100" w:afterAutospacing="1"/>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4</Pages>
  <Words>1610</Words>
  <Characters>9207</Characters>
  <Application>Microsoft Office Word</Application>
  <DocSecurity>0</DocSecurity>
  <Lines>172</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 Sanan</cp:lastModifiedBy>
  <cp:revision>46</cp:revision>
  <dcterms:created xsi:type="dcterms:W3CDTF">2013-12-23T23:15:00Z</dcterms:created>
  <dcterms:modified xsi:type="dcterms:W3CDTF">2026-03-20T17:25:00Z</dcterms:modified>
  <cp:category/>
</cp:coreProperties>
</file>