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82DB" w14:textId="77777777" w:rsidR="00571633" w:rsidRPr="004B5762" w:rsidRDefault="00000000" w:rsidP="002D11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E62CD6B" w14:textId="77777777" w:rsidR="00571633" w:rsidRDefault="00571633" w:rsidP="002D11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6F751C" w14:textId="77777777" w:rsidR="00571633" w:rsidRPr="004B5762" w:rsidRDefault="00000000" w:rsidP="002D11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51EC9B19" w14:textId="77777777" w:rsidR="00571633" w:rsidRPr="004B5762" w:rsidRDefault="00000000" w:rsidP="002D11A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 xml:space="preserve">БЕЛОРУССКИЙ ГОСУДАРСТВЕННЫЙ УНИВЕРСИТЕТ </w:t>
      </w:r>
      <w:r w:rsidRPr="004B5762">
        <w:rPr>
          <w:rFonts w:ascii="Times New Roman" w:eastAsia="Times New Roman" w:hAnsi="Times New Roman" w:cs="Times New Roman"/>
          <w:sz w:val="28"/>
          <w:szCs w:val="28"/>
        </w:rPr>
        <w:br/>
        <w:t>ИНФОРМАТИКИ И РАДИОЭЛЕКТРОНИКИ</w:t>
      </w:r>
    </w:p>
    <w:p w14:paraId="7D06E572" w14:textId="77777777" w:rsidR="00571633" w:rsidRPr="004B5762" w:rsidRDefault="00571633" w:rsidP="002D11A3">
      <w:pPr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9D3EAD" w14:textId="77777777" w:rsidR="00571633" w:rsidRPr="004B5762" w:rsidRDefault="00571633" w:rsidP="002D11A3">
      <w:pPr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7A3ADC" w14:textId="77777777" w:rsidR="00571633" w:rsidRPr="004B5762" w:rsidRDefault="00571633" w:rsidP="002D11A3">
      <w:pPr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30AC63" w14:textId="77777777" w:rsidR="00571633" w:rsidRPr="004B5762" w:rsidRDefault="00000000" w:rsidP="002D11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 xml:space="preserve">Факультет инженерно-экономический </w:t>
      </w:r>
    </w:p>
    <w:p w14:paraId="21524116" w14:textId="77777777" w:rsidR="00571633" w:rsidRPr="004B5762" w:rsidRDefault="00571633" w:rsidP="002D11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97AADA" w14:textId="77777777" w:rsidR="00571633" w:rsidRPr="004B5762" w:rsidRDefault="00000000" w:rsidP="002D11A3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5762">
        <w:rPr>
          <w:rFonts w:ascii="Times New Roman" w:eastAsia="Times New Roman" w:hAnsi="Times New Roman" w:cs="Times New Roman"/>
          <w:sz w:val="28"/>
          <w:szCs w:val="28"/>
        </w:rPr>
        <w:t>Кафедра менеджмента</w:t>
      </w:r>
    </w:p>
    <w:p w14:paraId="34826070" w14:textId="77777777" w:rsidR="00571633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08BA6A41" w14:textId="77777777" w:rsidR="00571633" w:rsidRPr="003C6457" w:rsidRDefault="00571633" w:rsidP="002D11A3">
      <w:pPr>
        <w:ind w:left="1560" w:hanging="1560"/>
        <w:jc w:val="both"/>
        <w:rPr>
          <w:rFonts w:ascii="Times New Roman" w:eastAsia="Times New Roman" w:hAnsi="Times New Roman" w:cs="Times New Roman"/>
          <w:sz w:val="28"/>
        </w:rPr>
      </w:pPr>
    </w:p>
    <w:p w14:paraId="728AF09D" w14:textId="77777777" w:rsidR="00571633" w:rsidRDefault="00571633" w:rsidP="002D11A3">
      <w:pPr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73DAF4B" w14:textId="77777777" w:rsidR="00571633" w:rsidRDefault="00571633" w:rsidP="002D11A3">
      <w:pPr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47ABE9D" w14:textId="77777777" w:rsidR="00571633" w:rsidRDefault="00571633" w:rsidP="002D11A3">
      <w:pPr>
        <w:ind w:firstLine="54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23EF7C3B" w14:textId="77777777" w:rsidR="00571633" w:rsidRDefault="00000000" w:rsidP="002D11A3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Контрольная работа по дисциплине</w:t>
      </w:r>
    </w:p>
    <w:p w14:paraId="357DAC31" w14:textId="77777777" w:rsidR="00571633" w:rsidRPr="00C64947" w:rsidRDefault="00000000" w:rsidP="002D11A3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«</w:t>
      </w:r>
      <w:r w:rsidRPr="00843868">
        <w:rPr>
          <w:rFonts w:ascii="Times New Roman" w:eastAsia="Times New Roman" w:hAnsi="Times New Roman" w:cs="Times New Roman"/>
          <w:sz w:val="28"/>
        </w:rPr>
        <w:t>Научно-исследовательская работа</w:t>
      </w:r>
      <w:r>
        <w:rPr>
          <w:rFonts w:ascii="Times New Roman" w:eastAsia="Times New Roman" w:hAnsi="Times New Roman" w:cs="Times New Roman"/>
          <w:sz w:val="28"/>
        </w:rPr>
        <w:t>.</w:t>
      </w:r>
      <w:r w:rsidRPr="00E148E6">
        <w:rPr>
          <w:rFonts w:ascii="Times New Roman" w:eastAsia="Times New Roman" w:hAnsi="Times New Roman" w:cs="Times New Roman"/>
          <w:sz w:val="28"/>
        </w:rPr>
        <w:t xml:space="preserve"> Часть 1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31439597" w14:textId="77777777" w:rsidR="00571633" w:rsidRDefault="00000000" w:rsidP="002D11A3">
      <w:pPr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 теме «</w:t>
      </w:r>
      <w:r w:rsidRPr="00843868">
        <w:rPr>
          <w:rFonts w:ascii="Times New Roman" w:eastAsia="Times New Roman" w:hAnsi="Times New Roman" w:cs="Times New Roman"/>
          <w:sz w:val="28"/>
        </w:rPr>
        <w:t xml:space="preserve">Организация научно-исследовательской деятельности </w:t>
      </w:r>
    </w:p>
    <w:p w14:paraId="08CE87C4" w14:textId="77777777" w:rsidR="00571633" w:rsidRDefault="00000000" w:rsidP="002D11A3">
      <w:pPr>
        <w:jc w:val="center"/>
        <w:rPr>
          <w:rFonts w:ascii="Times New Roman" w:eastAsia="Times New Roman" w:hAnsi="Times New Roman" w:cs="Times New Roman"/>
          <w:sz w:val="28"/>
        </w:rPr>
      </w:pPr>
      <w:bookmarkStart w:id="0" w:name="_tpl__GoBack"/>
      <w:bookmarkEnd w:id="0"/>
      <w:r w:rsidRPr="00843868">
        <w:rPr>
          <w:rFonts w:ascii="Times New Roman" w:eastAsia="Times New Roman" w:hAnsi="Times New Roman" w:cs="Times New Roman"/>
          <w:sz w:val="28"/>
        </w:rPr>
        <w:t>в Республике Беларусь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763B2FBC" w14:textId="77777777" w:rsidR="00571633" w:rsidRDefault="00571633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57A32EB7" w14:textId="77777777" w:rsidR="00571633" w:rsidRPr="00C64947" w:rsidRDefault="00571633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2A440038" w14:textId="77777777" w:rsidR="00571633" w:rsidRPr="00C64947" w:rsidRDefault="00571633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0DC920BD" w14:textId="77777777" w:rsidR="00571633" w:rsidRPr="00C64947" w:rsidRDefault="00571633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77F9B591" w14:textId="77777777" w:rsidR="00571633" w:rsidRPr="00C64947" w:rsidRDefault="00571633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41B783BF" w14:textId="77777777" w:rsidR="00571633" w:rsidRPr="00C64947" w:rsidRDefault="00571633" w:rsidP="002D11A3">
      <w:pPr>
        <w:ind w:firstLine="540"/>
        <w:jc w:val="both"/>
        <w:rPr>
          <w:rFonts w:ascii="Times New Roman" w:eastAsia="Times New Roman" w:hAnsi="Times New Roman" w:cs="Times New Roman"/>
          <w:sz w:val="28"/>
        </w:rPr>
      </w:pPr>
    </w:p>
    <w:p w14:paraId="38460AD5" w14:textId="77777777" w:rsidR="00571633" w:rsidRPr="00C64947" w:rsidRDefault="00571633" w:rsidP="002D11A3">
      <w:pPr>
        <w:ind w:firstLine="540"/>
        <w:jc w:val="both"/>
        <w:rPr>
          <w:rFonts w:ascii="Times New Roman" w:eastAsia="Times New Roman" w:hAnsi="Times New Roman" w:cs="Times New Roman"/>
          <w:sz w:val="28"/>
        </w:rPr>
      </w:pPr>
    </w:p>
    <w:p w14:paraId="721A5C0D" w14:textId="77777777" w:rsidR="00571633" w:rsidRPr="00C64947" w:rsidRDefault="00000000" w:rsidP="004017CB">
      <w:pPr>
        <w:ind w:left="46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4947">
        <w:rPr>
          <w:rFonts w:ascii="Times New Roman" w:eastAsia="Times New Roman" w:hAnsi="Times New Roman" w:cs="Times New Roman"/>
          <w:sz w:val="28"/>
          <w:szCs w:val="28"/>
        </w:rPr>
        <w:t>Студент: гр.</w:t>
      </w:r>
      <w:r>
        <w:rPr>
          <w:rFonts w:ascii="Times New Roman" w:eastAsia="Times New Roman" w:hAnsi="Times New Roman" w:cs="Times New Roman"/>
          <w:sz w:val="28"/>
          <w:szCs w:val="28"/>
        </w:rPr>
        <w:t>676541</w:t>
      </w:r>
      <w:r w:rsidRPr="00C64947">
        <w:rPr>
          <w:rFonts w:ascii="Times New Roman" w:eastAsia="Times New Roman" w:hAnsi="Times New Roman" w:cs="Times New Roman"/>
          <w:sz w:val="28"/>
          <w:szCs w:val="28"/>
        </w:rPr>
        <w:t xml:space="preserve"> Карась А. С.</w:t>
      </w:r>
    </w:p>
    <w:p w14:paraId="784A5448" w14:textId="77777777" w:rsidR="00571633" w:rsidRPr="00C64947" w:rsidRDefault="00571633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</w:p>
    <w:p w14:paraId="56904E35" w14:textId="77777777" w:rsidR="00571633" w:rsidRPr="00C64947" w:rsidRDefault="00571633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</w:p>
    <w:p w14:paraId="7915316D" w14:textId="77777777" w:rsidR="00571633" w:rsidRPr="00C64947" w:rsidRDefault="00000000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  <w:r w:rsidRPr="00C64947">
        <w:rPr>
          <w:rFonts w:ascii="Times New Roman" w:eastAsia="Times New Roman" w:hAnsi="Times New Roman" w:cs="Times New Roman"/>
          <w:sz w:val="28"/>
        </w:rPr>
        <w:t xml:space="preserve">Руководитель: </w:t>
      </w:r>
    </w:p>
    <w:p w14:paraId="3D160B33" w14:textId="77777777" w:rsidR="00571633" w:rsidRPr="00C64947" w:rsidRDefault="00000000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  <w:r w:rsidRPr="00C64947">
        <w:rPr>
          <w:rFonts w:ascii="Times New Roman" w:eastAsia="Times New Roman" w:hAnsi="Times New Roman" w:cs="Times New Roman"/>
          <w:sz w:val="28"/>
        </w:rPr>
        <w:t xml:space="preserve">Князькова В.С., </w:t>
      </w:r>
    </w:p>
    <w:p w14:paraId="11B86CE3" w14:textId="77777777" w:rsidR="00571633" w:rsidRPr="00C64947" w:rsidRDefault="00000000" w:rsidP="004017CB">
      <w:pPr>
        <w:ind w:left="4678"/>
        <w:jc w:val="both"/>
        <w:rPr>
          <w:rFonts w:ascii="Times New Roman" w:eastAsia="Times New Roman" w:hAnsi="Times New Roman" w:cs="Times New Roman"/>
          <w:sz w:val="28"/>
        </w:rPr>
      </w:pPr>
      <w:r w:rsidRPr="00C64947">
        <w:rPr>
          <w:rFonts w:ascii="Times New Roman" w:eastAsia="Times New Roman" w:hAnsi="Times New Roman" w:cs="Times New Roman"/>
          <w:sz w:val="28"/>
        </w:rPr>
        <w:t xml:space="preserve">кандидат экономических наук, доцент </w:t>
      </w:r>
    </w:p>
    <w:p w14:paraId="6B35ED45" w14:textId="77777777" w:rsidR="00571633" w:rsidRPr="00C64947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0EDC61BC" w14:textId="77777777" w:rsidR="00571633" w:rsidRPr="00C64947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379E31E7" w14:textId="77777777" w:rsidR="00571633" w:rsidRPr="00C64947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4AED4522" w14:textId="77777777" w:rsidR="00571633" w:rsidRPr="00C64947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0B81F781" w14:textId="77777777" w:rsidR="00571633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1400D4A7" w14:textId="77777777" w:rsidR="00571633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7EEAB466" w14:textId="77777777" w:rsidR="00571633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0D17B3EE" w14:textId="77777777" w:rsidR="00571633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615E6323" w14:textId="77777777" w:rsidR="00571633" w:rsidRDefault="00571633" w:rsidP="002D11A3">
      <w:pPr>
        <w:jc w:val="both"/>
        <w:rPr>
          <w:rFonts w:ascii="Times New Roman" w:eastAsia="Times New Roman" w:hAnsi="Times New Roman" w:cs="Times New Roman"/>
          <w:sz w:val="28"/>
        </w:rPr>
      </w:pPr>
    </w:p>
    <w:p w14:paraId="7D0E1FF6" w14:textId="77777777" w:rsidR="00571633" w:rsidRPr="00C64947" w:rsidRDefault="00571633" w:rsidP="002D11A3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21ED0FF0" w14:textId="77777777" w:rsidR="00571633" w:rsidRPr="00C64947" w:rsidRDefault="00571633" w:rsidP="002D11A3">
      <w:pPr>
        <w:rPr>
          <w:rFonts w:ascii="Times New Roman" w:eastAsia="Times New Roman" w:hAnsi="Times New Roman" w:cs="Times New Roman"/>
          <w:sz w:val="28"/>
        </w:rPr>
      </w:pPr>
    </w:p>
    <w:p w14:paraId="1E892F80" w14:textId="77777777" w:rsidR="00571633" w:rsidRPr="00BF6A2B" w:rsidRDefault="00000000" w:rsidP="002D11A3">
      <w:pPr>
        <w:jc w:val="center"/>
        <w:rPr>
          <w:rFonts w:ascii="Times New Roman" w:eastAsia="Times New Roman" w:hAnsi="Times New Roman" w:cs="Times New Roman"/>
          <w:sz w:val="10"/>
        </w:rPr>
        <w:sectPr w:rsidR="00571633" w:rsidRPr="00BF6A2B">
          <w:footerReference w:type="default" r:id="rId8"/>
          <w:pgSz w:w="11906" w:h="16838"/>
          <w:pgMar w:top="1134" w:right="851" w:bottom="1134" w:left="1701" w:header="720" w:footer="720" w:gutter="0"/>
          <w:cols w:space="720"/>
        </w:sectPr>
      </w:pPr>
      <w:r w:rsidRPr="00C64947">
        <w:rPr>
          <w:rFonts w:ascii="Times New Roman" w:eastAsia="Times New Roman" w:hAnsi="Times New Roman" w:cs="Times New Roman"/>
          <w:sz w:val="28"/>
        </w:rPr>
        <w:t>Минск 2026</w:t>
      </w:r>
    </w:p>
    <w:p w14:paraId="0FEFF5A7" w14:textId="77777777" w:rsidR="006E6AEF" w:rsidRDefault="00000000">
      <w:pPr>
        <w:pStyle w:val="13"/>
        <w:pageBreakBefore/>
      </w:pPr>
      <w:r>
        <w:lastRenderedPageBreak/>
        <w:t>СОДЕРЖАНИЕ</w:t>
      </w:r>
    </w:p>
    <w:sdt>
      <w:sdtPr>
        <w:rPr>
          <w:rFonts w:ascii="Courier New" w:eastAsia="Courier New" w:hAnsi="Courier New" w:cs="Courier New"/>
          <w:color w:val="auto"/>
          <w:sz w:val="22"/>
          <w:szCs w:val="22"/>
          <w:lang w:eastAsia="en-US"/>
        </w:rPr>
        <w:id w:val="932403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CF3303" w14:textId="131DE304" w:rsidR="00426D46" w:rsidRDefault="00426D46">
          <w:pPr>
            <w:pStyle w:val="af0"/>
          </w:pPr>
        </w:p>
        <w:p w14:paraId="01EE7E23" w14:textId="7CAF6F92" w:rsidR="00426D46" w:rsidRDefault="00426D46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81032" w:history="1">
            <w:r w:rsidRPr="00275C5F">
              <w:rPr>
                <w:rStyle w:val="ac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Анализ системы организации научно-исследовательской деятельности в Республике Беларусь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AF80" w14:textId="5E5D9157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33" w:history="1">
            <w:r w:rsidRPr="00275C5F">
              <w:rPr>
                <w:rStyle w:val="ac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Система статистических показателей научно-исследовательской деятельности и характеристика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E9BFA" w14:textId="27C09FCF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34" w:history="1">
            <w:r w:rsidRPr="00275C5F">
              <w:rPr>
                <w:rStyle w:val="ac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Показатели технологической структуры экономики и научного потенциала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28237" w14:textId="07B88254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35" w:history="1">
            <w:r w:rsidRPr="00275C5F">
              <w:rPr>
                <w:rStyle w:val="ac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Инновационная активность организаций промышленности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A3AE4" w14:textId="7AB171B3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36" w:history="1">
            <w:r w:rsidRPr="00275C5F">
              <w:rPr>
                <w:rStyle w:val="ac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Развитие цифровой среды и технологической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21E89" w14:textId="0675CAFF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37" w:history="1">
            <w:r w:rsidRPr="00275C5F">
              <w:rPr>
                <w:rStyle w:val="ac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Экспорт наукоёмкой и высокотехнологичной продукции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A4238" w14:textId="4809BBCE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38" w:history="1">
            <w:r w:rsidRPr="00275C5F">
              <w:rPr>
                <w:rStyle w:val="ac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B06A8" w14:textId="3AA3EE2D" w:rsidR="00426D46" w:rsidRDefault="00426D46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39" w:history="1">
            <w:r w:rsidRPr="00275C5F">
              <w:rPr>
                <w:rStyle w:val="ac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Литературный анализ по теме «Инструменты менеджмента качества в повышении эффективности управления жизненным циклом разработки программного продукта»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B2A3A" w14:textId="7C5962AD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40" w:history="1">
            <w:r w:rsidRPr="00275C5F">
              <w:rPr>
                <w:rStyle w:val="ac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Понятие «менеджмент качества»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FF30D" w14:textId="7C8CD39B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41" w:history="1">
            <w:r w:rsidRPr="00275C5F">
              <w:rPr>
                <w:rStyle w:val="ac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Понятие «качество программного продукта»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BF67D" w14:textId="04FC6A69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42" w:history="1">
            <w:r w:rsidRPr="00275C5F">
              <w:rPr>
                <w:rStyle w:val="ac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Понятие «жизненный цикл программного обеспечения»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BFF29" w14:textId="0710D630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43" w:history="1">
            <w:r w:rsidRPr="00275C5F">
              <w:rPr>
                <w:rStyle w:val="ac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Понятие «инструменты менеджмента качества»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8BB5C" w14:textId="0A1015D4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44" w:history="1">
            <w:r w:rsidRPr="00275C5F">
              <w:rPr>
                <w:rStyle w:val="ac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Понятие «эффективность управления разработкой программного продукта»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88EBD" w14:textId="06EAD4EC" w:rsidR="00426D46" w:rsidRDefault="00426D4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45" w:history="1">
            <w:r w:rsidRPr="00275C5F">
              <w:rPr>
                <w:rStyle w:val="ac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275C5F">
              <w:rPr>
                <w:rStyle w:val="ac"/>
                <w:noProof/>
              </w:rPr>
              <w:t>Сопоставительный анализ определений и общие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CC17" w14:textId="159F79AF" w:rsidR="00426D46" w:rsidRDefault="00426D46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46" w:history="1">
            <w:r w:rsidRPr="00275C5F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A699F" w14:textId="3B9E6D66" w:rsidR="00426D46" w:rsidRDefault="00426D46">
          <w:pPr>
            <w:pStyle w:val="1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781047" w:history="1">
            <w:r w:rsidRPr="00275C5F">
              <w:rPr>
                <w:rStyle w:val="ac"/>
                <w:noProof/>
              </w:rPr>
              <w:t>Приложение А . Полная система показателей оценки уровня технологического развития экономики Республики Беларусь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_Toc241781047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4A374" w14:textId="47D7A6C4" w:rsidR="00426D46" w:rsidRDefault="00426D46">
          <w:r>
            <w:rPr>
              <w:b/>
              <w:bCs/>
            </w:rPr>
            <w:fldChar w:fldCharType="end"/>
          </w:r>
        </w:p>
      </w:sdtContent>
    </w:sdt>
    <w:p w14:paraId="028BFBDC" w14:textId="6912D8F0" w:rsidR="006E6AEF" w:rsidRDefault="006E6AEF">
      <w:pPr>
        <w:pStyle w:val="17"/>
        <w:tabs>
          <w:tab w:val="right" w:leader="dot" w:pos="9638"/>
        </w:tabs>
      </w:pPr>
    </w:p>
    <w:p w14:paraId="4F49DA2C" w14:textId="77777777" w:rsidR="006E6AEF" w:rsidRPr="003F222F" w:rsidRDefault="00000000">
      <w:pPr>
        <w:pStyle w:val="10"/>
        <w:pageBreakBefore/>
        <w:rPr>
          <w:lang w:val="ru-RU"/>
        </w:rPr>
      </w:pPr>
      <w:bookmarkStart w:id="1" w:name="sub_1"/>
      <w:bookmarkStart w:id="2" w:name="_Toc241781032"/>
      <w:r w:rsidRPr="003F222F">
        <w:rPr>
          <w:lang w:val="ru-RU"/>
        </w:rPr>
        <w:lastRenderedPageBreak/>
        <w:t>Анализ системы организации научно-исследовательской деятельности в Республике Беларусь</w:t>
      </w:r>
      <w:bookmarkEnd w:id="1"/>
      <w:bookmarkEnd w:id="2"/>
    </w:p>
    <w:p w14:paraId="5F43AD1E" w14:textId="4549FA4E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В качестве объекта анализа выбраны показатели оценки уровня технологического развития экономики, входящие в систему статистических показателей, комплексно характеризующей экономическое развитие страны в контексте научно-технического прогресса. Анализ проводится в динамике за 2021–2025 годы.</w:t>
      </w:r>
    </w:p>
    <w:p w14:paraId="42552E4A" w14:textId="77777777" w:rsidR="006E6AEF" w:rsidRPr="003F222F" w:rsidRDefault="006E6AEF">
      <w:pPr>
        <w:pStyle w:val="TNR0"/>
        <w:rPr>
          <w:lang w:val="ru-RU"/>
        </w:rPr>
      </w:pPr>
    </w:p>
    <w:p w14:paraId="58DDB748" w14:textId="77777777" w:rsidR="006E6AEF" w:rsidRDefault="00000000">
      <w:pPr>
        <w:pStyle w:val="20"/>
        <w:keepNext/>
      </w:pPr>
      <w:bookmarkStart w:id="3" w:name="sub_1_1"/>
      <w:bookmarkStart w:id="4" w:name="_Toc241781033"/>
      <w:r>
        <w:t>Система статистических показателей научно-исследовательской деятельности и характеристика исходных данных</w:t>
      </w:r>
      <w:bookmarkEnd w:id="3"/>
      <w:bookmarkEnd w:id="4"/>
    </w:p>
    <w:p w14:paraId="4CCD1C4C" w14:textId="7A324A40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Организационную основу научно-исследовательской деятельности (НИД) в Республике Беларусь образуют государственные органы управления наукой – Государственный комитет по науке и технологиям, Национальная академия наук Беларуси, Министерство образования Республики Беларусь, – а также организации государственного, предпринимательского секторов и сектора высшего образования, выполняющие научные исследования и разработки. Информационной базой мониторинга состояния и развития НИД служит государственная статистика: Национальный статистический комитет Республики Беларусь (Белстат) ежегодно формирует и публикует данные о числе организаций и персонале, выполнявших научные исследования и разработки, затратах на научные исследования и разработки, подготовке научных кадров высшей квалификации и инновационной деятельности организаций.</w:t>
      </w:r>
    </w:p>
    <w:p w14:paraId="73C372F6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Основным систематизированным статистическим изданием по теме является ежегодный сборник «Наука и инновационная деятельность в Республике Беларусь» </w:t>
      </w:r>
      <w:hyperlink w:anchor="src_54" w:history="1">
        <w:r w:rsidR="006E6AEF" w:rsidRPr="003F222F">
          <w:rPr>
            <w:lang w:val="ru-RU"/>
          </w:rPr>
          <w:t>[54]</w:t>
        </w:r>
      </w:hyperlink>
      <w:r w:rsidRPr="003F222F">
        <w:rPr>
          <w:lang w:val="ru-RU"/>
        </w:rPr>
        <w:t>, объединяющий шесть разделов:</w:t>
      </w:r>
    </w:p>
    <w:p w14:paraId="2C1E4207" w14:textId="77777777" w:rsidR="006E6AEF" w:rsidRPr="003F222F" w:rsidRDefault="00000000">
      <w:pPr>
        <w:pStyle w:val="1"/>
        <w:rPr>
          <w:lang w:val="ru-RU"/>
        </w:rPr>
      </w:pPr>
      <w:r w:rsidRPr="003F222F">
        <w:rPr>
          <w:lang w:val="ru-RU"/>
        </w:rPr>
        <w:t>оценка уровня технологического развития отраслей экономики;</w:t>
      </w:r>
    </w:p>
    <w:p w14:paraId="1FD7C75C" w14:textId="77777777" w:rsidR="006E6AEF" w:rsidRPr="003F222F" w:rsidRDefault="00000000">
      <w:pPr>
        <w:pStyle w:val="1"/>
        <w:rPr>
          <w:lang w:val="ru-RU"/>
        </w:rPr>
      </w:pPr>
      <w:r w:rsidRPr="003F222F">
        <w:rPr>
          <w:lang w:val="ru-RU"/>
        </w:rPr>
        <w:t>индикаторы науки и инновационного развития;</w:t>
      </w:r>
    </w:p>
    <w:p w14:paraId="3407CC78" w14:textId="77777777" w:rsidR="006E6AEF" w:rsidRPr="003F222F" w:rsidRDefault="00000000">
      <w:pPr>
        <w:pStyle w:val="1"/>
        <w:rPr>
          <w:lang w:val="ru-RU"/>
        </w:rPr>
      </w:pPr>
      <w:r w:rsidRPr="003F222F">
        <w:rPr>
          <w:lang w:val="ru-RU"/>
        </w:rPr>
        <w:t>организации и кадровый потенциал науки;</w:t>
      </w:r>
    </w:p>
    <w:p w14:paraId="2A3BEC57" w14:textId="77777777" w:rsidR="006E6AEF" w:rsidRDefault="00000000">
      <w:pPr>
        <w:pStyle w:val="1"/>
      </w:pPr>
      <w:r>
        <w:t>подготовка кадров;</w:t>
      </w:r>
    </w:p>
    <w:p w14:paraId="57E689CA" w14:textId="77777777" w:rsidR="006E6AEF" w:rsidRDefault="00000000">
      <w:pPr>
        <w:pStyle w:val="1"/>
      </w:pPr>
      <w:r>
        <w:t>экономические показатели научной деятельности;</w:t>
      </w:r>
    </w:p>
    <w:p w14:paraId="4240EF76" w14:textId="77777777" w:rsidR="006E6AEF" w:rsidRDefault="00000000">
      <w:pPr>
        <w:pStyle w:val="1"/>
      </w:pPr>
      <w:r>
        <w:t>инновации.</w:t>
      </w:r>
    </w:p>
    <w:p w14:paraId="502F5CFB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Оперативные и детализированные данные публикуются в разделе «Наука и инновации» официального сайта Белстата </w:t>
      </w:r>
      <w:hyperlink w:anchor="src_53" w:history="1">
        <w:r w:rsidR="006E6AEF" w:rsidRPr="003F222F">
          <w:rPr>
            <w:lang w:val="ru-RU"/>
          </w:rPr>
          <w:t>[53]</w:t>
        </w:r>
      </w:hyperlink>
      <w:r w:rsidRPr="003F222F">
        <w:rPr>
          <w:lang w:val="ru-RU"/>
        </w:rPr>
        <w:t xml:space="preserve"> в виде наборов данных, национальных индикаторов, пресс-релизов и инфографики.</w:t>
      </w:r>
    </w:p>
    <w:p w14:paraId="0878BBE0" w14:textId="77777777" w:rsidR="00EE265A" w:rsidRDefault="00000000">
      <w:pPr>
        <w:pStyle w:val="TNR0"/>
        <w:rPr>
          <w:lang w:val="ru-RU"/>
        </w:rPr>
      </w:pPr>
      <w:r w:rsidRPr="003F222F">
        <w:rPr>
          <w:lang w:val="ru-RU"/>
        </w:rPr>
        <w:lastRenderedPageBreak/>
        <w:t xml:space="preserve">Для анализа выбрана составляющая «показатели оценки уровня технологического развития экономики» </w:t>
      </w:r>
      <w:hyperlink w:anchor="src_54" w:history="1">
        <w:r w:rsidR="006E6AEF" w:rsidRPr="003F222F">
          <w:rPr>
            <w:lang w:val="ru-RU"/>
          </w:rPr>
          <w:t>[54]</w:t>
        </w:r>
      </w:hyperlink>
      <w:r w:rsidRPr="003F222F">
        <w:rPr>
          <w:lang w:val="ru-RU"/>
        </w:rPr>
        <w:t xml:space="preserve">. Данная группа показателей характеризует результативность НИД на уровне национальной экономики: технологическую структуру производства, наукоёмкость ВВП, кадровый потенциал науки, инновационную активность промышленности, развитие цифровой среды и экспортные позиции наукоёмкой и высокотехнологичной продукции. </w:t>
      </w:r>
    </w:p>
    <w:p w14:paraId="081A5BAF" w14:textId="47CAA7C6" w:rsidR="003A2F2B" w:rsidRPr="00EE265A" w:rsidRDefault="00000000">
      <w:pPr>
        <w:pStyle w:val="TNR0"/>
        <w:rPr>
          <w:lang w:val="ru-RU"/>
        </w:rPr>
      </w:pPr>
      <w:r w:rsidRPr="003F222F">
        <w:rPr>
          <w:lang w:val="ru-RU"/>
        </w:rPr>
        <w:t>Источником данных послужил набор</w:t>
      </w:r>
      <w:r w:rsidR="00CE1597">
        <w:rPr>
          <w:lang w:val="ru-RU"/>
        </w:rPr>
        <w:t xml:space="preserve"> данных</w:t>
      </w:r>
      <w:r w:rsidRPr="003F222F">
        <w:rPr>
          <w:lang w:val="ru-RU"/>
        </w:rPr>
        <w:t xml:space="preserve"> «Оценка уровня технологического развития экономики Республики Беларусь»</w:t>
      </w:r>
      <w:r w:rsidR="00A01189">
        <w:rPr>
          <w:lang w:val="ru-RU"/>
        </w:rPr>
        <w:t xml:space="preserve"> </w:t>
      </w:r>
      <w:hyperlink w:anchor="src_53" w:history="1">
        <w:r w:rsidR="006E6AEF" w:rsidRPr="003F222F">
          <w:rPr>
            <w:lang w:val="ru-RU"/>
          </w:rPr>
          <w:t>[53]</w:t>
        </w:r>
      </w:hyperlink>
      <w:r w:rsidRPr="003F222F">
        <w:rPr>
          <w:lang w:val="ru-RU"/>
        </w:rPr>
        <w:t xml:space="preserve">. Полный состав показателей приведён в </w:t>
      </w:r>
      <w:hyperlink w:anchor="app_А" w:history="1">
        <w:r w:rsidR="006E6AEF" w:rsidRPr="003F222F">
          <w:rPr>
            <w:lang w:val="ru-RU"/>
          </w:rPr>
          <w:t>приложении А</w:t>
        </w:r>
      </w:hyperlink>
      <w:r w:rsidRPr="003F222F">
        <w:rPr>
          <w:lang w:val="ru-RU"/>
        </w:rPr>
        <w:t xml:space="preserve">. </w:t>
      </w:r>
    </w:p>
    <w:p w14:paraId="34C14990" w14:textId="51DE0DB3" w:rsidR="00551E69" w:rsidRPr="00CF1E88" w:rsidRDefault="006329D0">
      <w:pPr>
        <w:pStyle w:val="TNR0"/>
        <w:rPr>
          <w:lang w:val="ru-RU"/>
        </w:rPr>
      </w:pPr>
      <w:r>
        <w:rPr>
          <w:lang w:val="ru-RU"/>
        </w:rPr>
        <w:t>П</w:t>
      </w:r>
      <w:r w:rsidRPr="003F222F">
        <w:rPr>
          <w:lang w:val="ru-RU"/>
        </w:rPr>
        <w:t xml:space="preserve">оказатели сгруппированы по четырём направлениям: </w:t>
      </w:r>
    </w:p>
    <w:p w14:paraId="6E4EFD45" w14:textId="77777777" w:rsidR="00551E69" w:rsidRPr="00551E69" w:rsidRDefault="00000000" w:rsidP="00551E69">
      <w:pPr>
        <w:pStyle w:val="1"/>
        <w:rPr>
          <w:lang w:val="ru-RU"/>
        </w:rPr>
      </w:pPr>
      <w:r w:rsidRPr="00551E69">
        <w:rPr>
          <w:lang w:val="ru-RU"/>
        </w:rPr>
        <w:t>технологическая структура экономики и научный потенциал;</w:t>
      </w:r>
    </w:p>
    <w:p w14:paraId="17BF9A9C" w14:textId="77777777" w:rsidR="00551E69" w:rsidRPr="00551E69" w:rsidRDefault="00000000" w:rsidP="00551E69">
      <w:pPr>
        <w:pStyle w:val="1"/>
        <w:rPr>
          <w:lang w:val="ru-RU"/>
        </w:rPr>
      </w:pPr>
      <w:r w:rsidRPr="00551E69">
        <w:rPr>
          <w:lang w:val="ru-RU"/>
        </w:rPr>
        <w:t xml:space="preserve">инновационная активность организаций промышленности; </w:t>
      </w:r>
    </w:p>
    <w:p w14:paraId="65D1686B" w14:textId="77777777" w:rsidR="00551E69" w:rsidRPr="00551E69" w:rsidRDefault="00000000" w:rsidP="00551E69">
      <w:pPr>
        <w:pStyle w:val="1"/>
        <w:rPr>
          <w:lang w:val="ru-RU"/>
        </w:rPr>
      </w:pPr>
      <w:r w:rsidRPr="00551E69">
        <w:rPr>
          <w:lang w:val="ru-RU"/>
        </w:rPr>
        <w:t xml:space="preserve">развитие цифровой среды и технологической инфраструктуры; </w:t>
      </w:r>
    </w:p>
    <w:p w14:paraId="440EDE3A" w14:textId="61ADDBAD" w:rsidR="006E6AEF" w:rsidRPr="00551E69" w:rsidRDefault="00000000" w:rsidP="00551E69">
      <w:pPr>
        <w:pStyle w:val="1"/>
        <w:rPr>
          <w:lang w:val="ru-RU"/>
        </w:rPr>
      </w:pPr>
      <w:r w:rsidRPr="00551E69">
        <w:rPr>
          <w:lang w:val="ru-RU"/>
        </w:rPr>
        <w:t>экспорт наукоёмкой и высокотехнологичной продукции.</w:t>
      </w:r>
    </w:p>
    <w:p w14:paraId="09703722" w14:textId="77777777" w:rsidR="006E6AEF" w:rsidRPr="003F222F" w:rsidRDefault="006E6AEF">
      <w:pPr>
        <w:pStyle w:val="TNR0"/>
        <w:rPr>
          <w:lang w:val="ru-RU"/>
        </w:rPr>
      </w:pPr>
    </w:p>
    <w:p w14:paraId="30FFC195" w14:textId="77777777" w:rsidR="006E6AEF" w:rsidRDefault="00000000">
      <w:pPr>
        <w:pStyle w:val="20"/>
        <w:keepNext/>
      </w:pPr>
      <w:bookmarkStart w:id="5" w:name="sub_1_2"/>
      <w:bookmarkStart w:id="6" w:name="_Toc241781034"/>
      <w:r>
        <w:t>Показатели технологической структуры экономики и научного потенциала</w:t>
      </w:r>
      <w:bookmarkEnd w:id="5"/>
      <w:bookmarkEnd w:id="6"/>
    </w:p>
    <w:p w14:paraId="5EB24DBD" w14:textId="5A00781F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К показателям технологической структуры экономики относятся доли высокотехнологичных, среднетехнологичных высокого уровня и наукоёмких отраслей в</w:t>
      </w:r>
      <w:r w:rsidR="00EE678F" w:rsidRPr="00EE678F">
        <w:rPr>
          <w:lang w:val="ru-RU"/>
        </w:rPr>
        <w:t xml:space="preserve"> </w:t>
      </w:r>
      <w:r w:rsidR="00EE678F">
        <w:rPr>
          <w:lang w:val="ru-RU"/>
        </w:rPr>
        <w:t>ВВП</w:t>
      </w:r>
      <w:r w:rsidRPr="003F222F">
        <w:rPr>
          <w:lang w:val="ru-RU"/>
        </w:rPr>
        <w:t xml:space="preserve">, доля высокотехнологичных производств в добавленной стоимости обрабатывающей промышленности, а также наукоёмкость ВВП. Кадровый потенциал науки характеризует численность исследователей в расчёте на 1 млн жителей. Значения показателей за 2021–2025 годы приведены в </w:t>
      </w:r>
      <w:hyperlink w:anchor="tbl_1_1" w:history="1">
        <w:r w:rsidR="006E6AEF" w:rsidRPr="003F222F">
          <w:rPr>
            <w:lang w:val="ru-RU"/>
          </w:rPr>
          <w:t>таблице 1.1</w:t>
        </w:r>
      </w:hyperlink>
      <w:r w:rsidRPr="003F222F">
        <w:rPr>
          <w:lang w:val="ru-RU"/>
        </w:rPr>
        <w:t>.</w:t>
      </w:r>
    </w:p>
    <w:p w14:paraId="795D38FA" w14:textId="77777777" w:rsidR="006E6AEF" w:rsidRDefault="00000000">
      <w:pPr>
        <w:pStyle w:val="a2"/>
        <w:keepNext/>
        <w:numPr>
          <w:ilvl w:val="4"/>
          <w:numId w:val="0"/>
        </w:numPr>
      </w:pPr>
      <w:bookmarkStart w:id="7" w:name="tbl_1_1"/>
      <w:r>
        <w:t>Таблица 1.1 – Показатели технологической структуры экономики и научного потенциала Республики Беларусь</w:t>
      </w:r>
      <w:bookmarkEnd w:id="7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33"/>
        <w:gridCol w:w="1079"/>
        <w:gridCol w:w="1079"/>
        <w:gridCol w:w="1079"/>
        <w:gridCol w:w="1079"/>
        <w:gridCol w:w="1079"/>
      </w:tblGrid>
      <w:tr w:rsidR="006E6AEF" w14:paraId="19DEE6BA" w14:textId="77777777">
        <w:trPr>
          <w:cantSplit/>
          <w:tblHeader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FCF8D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A0A18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22B90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DFBEB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64096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888A5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2025*</w:t>
            </w:r>
          </w:p>
        </w:tc>
      </w:tr>
      <w:tr w:rsidR="006E6AEF" w14:paraId="54050D9F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63DAC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Доля высокотехнологичных (включая среднетехнологичные высокого уровня) и наукоёмких отраслей экономики в ВВП,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8A9A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39,4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05D8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38,5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0EE5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38,8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55C5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37,9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9D4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37,4</w:t>
            </w:r>
          </w:p>
        </w:tc>
      </w:tr>
      <w:tr w:rsidR="006E6AEF" w14:paraId="2E0F2FC1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87762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Доля высокотехнологичных и наукоёмких отраслей экономики в ВВП,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D6A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F754D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29,6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3BA0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47B1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94B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30,7</w:t>
            </w:r>
          </w:p>
        </w:tc>
      </w:tr>
      <w:tr w:rsidR="006E6AEF" w14:paraId="0BFC73C1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7D6DB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Доля высокотехнологичных производств в добавленной стоимости обрабатывающей промышленности,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A5DF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5,5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2738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5,9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52B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F0B9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BAD8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8,4</w:t>
            </w:r>
          </w:p>
        </w:tc>
      </w:tr>
      <w:tr w:rsidR="006E6AEF" w14:paraId="1EEA3DA8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15B92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Наукоёмкость ВВП,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2F38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5C69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0069D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A8FA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4B7C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0,55</w:t>
            </w:r>
          </w:p>
        </w:tc>
      </w:tr>
      <w:tr w:rsidR="006E6AEF" w14:paraId="5486D48C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C2801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lastRenderedPageBreak/>
              <w:t>Количество исследователей на 1 млн жителей, человек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77D4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1754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D577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1780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07DA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1871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1C70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C996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2002</w:t>
            </w:r>
          </w:p>
        </w:tc>
      </w:tr>
    </w:tbl>
    <w:p w14:paraId="5394D28E" w14:textId="77777777" w:rsidR="006E6AEF" w:rsidRDefault="006E6AEF"/>
    <w:p w14:paraId="0F5E674F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Примечание – Данные за 2025 год являются предварительными </w:t>
      </w:r>
      <w:hyperlink w:anchor="src_53" w:history="1">
        <w:r w:rsidR="006E6AEF" w:rsidRPr="003F222F">
          <w:rPr>
            <w:lang w:val="ru-RU"/>
          </w:rPr>
          <w:t>[53]</w:t>
        </w:r>
      </w:hyperlink>
      <w:r w:rsidRPr="003F222F">
        <w:rPr>
          <w:lang w:val="ru-RU"/>
        </w:rPr>
        <w:t>.</w:t>
      </w:r>
    </w:p>
    <w:p w14:paraId="33ADED62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Доля высокотехнологичных (включая среднетехнологичные высокого уровня) и наукоёмких отраслей экономики в ВВП за анализируемый период снизилась с 39,4 до 37,4 %, то есть на 2,0 процентного пункта. При этом доля собственно высокотехнологичных и наукоёмких отраслей (без учёта среднетехнологичных высокого уровня) возросла с 30,5 до 30,7 %. Следовательно, снижение совокупного показателя полностью обусловлено сокращением вклада среднетехнологичных производств высокого уровня (с 8,9 до 6,7 % ВВП), тогда как вклад высокотехнологичных и наукоёмких видов деятельности с 2022 года устойчиво увеличивается.</w:t>
      </w:r>
    </w:p>
    <w:p w14:paraId="32789E78" w14:textId="77777777" w:rsidR="006E6AEF" w:rsidRDefault="00000000">
      <w:pPr>
        <w:pStyle w:val="TNR0"/>
      </w:pPr>
      <w:r w:rsidRPr="003F222F">
        <w:rPr>
          <w:lang w:val="ru-RU"/>
        </w:rPr>
        <w:t xml:space="preserve">Положительный структурный сдвиг отражает динамика доли высокотехнологичных производств в добавленной стоимости обрабатывающей промышленности: за пять лет она выросла с 5,5 до 8,4 %, то есть в 1,5 раза. Наукоёмкость ВВП повысилась с 0,46 % в 2021 году до 0,58 % в 2024 году, а в 2025 году составила 0,55 %. Хотя по меркам развитых стран этот уровень остаётся невысоким, устойчивая положительная динамика свидетельствует о постепенном росте интенсивности научных исследований в экономике. Численность исследователей в расчёте на 1 млн жителей увеличивается ежегодно: с 1754 человек в 2021 году до 2002 человек в 2025 году, то есть на 14,1 % (см. </w:t>
      </w:r>
      <w:hyperlink w:anchor="fig_1_1" w:history="1">
        <w:r w:rsidR="006E6AEF">
          <w:t>рисунок 1.1</w:t>
        </w:r>
      </w:hyperlink>
      <w:r>
        <w:t>).</w:t>
      </w:r>
    </w:p>
    <w:p w14:paraId="58644193" w14:textId="77777777" w:rsidR="006E6AEF" w:rsidRDefault="006E6AEF">
      <w:pPr>
        <w:pStyle w:val="TNR0"/>
      </w:pPr>
    </w:p>
    <w:p w14:paraId="19349865" w14:textId="77777777" w:rsidR="006E6AEF" w:rsidRDefault="00000000">
      <w:pPr>
        <w:keepNext/>
        <w:jc w:val="center"/>
      </w:pPr>
      <w:r>
        <w:rPr>
          <w:noProof/>
        </w:rPr>
        <w:drawing>
          <wp:inline distT="0" distB="0" distL="0" distR="0" wp14:anchorId="66D1C2CB" wp14:editId="182AE0DB">
            <wp:extent cx="5400000" cy="2366320"/>
            <wp:effectExtent l="0" t="0" r="0" b="0"/>
            <wp:docPr id="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CD66" w14:textId="4877B8B7" w:rsidR="006E6AEF" w:rsidRPr="003F222F" w:rsidRDefault="00000000" w:rsidP="007965D5">
      <w:pPr>
        <w:pStyle w:val="a3"/>
        <w:numPr>
          <w:ilvl w:val="5"/>
          <w:numId w:val="0"/>
        </w:numPr>
      </w:pPr>
      <w:bookmarkStart w:id="8" w:name="fig_1_1"/>
      <w:r>
        <w:t xml:space="preserve">Рисунок 1.1 – Наукоёмкость ВВП и численность исследователей на 1 млн жителей </w:t>
      </w:r>
      <w:bookmarkEnd w:id="8"/>
    </w:p>
    <w:p w14:paraId="4AF77994" w14:textId="77777777" w:rsidR="006E6AEF" w:rsidRDefault="00000000">
      <w:pPr>
        <w:pStyle w:val="20"/>
        <w:keepNext/>
      </w:pPr>
      <w:bookmarkStart w:id="9" w:name="sub_1_3"/>
      <w:bookmarkStart w:id="10" w:name="_Toc241781035"/>
      <w:r>
        <w:lastRenderedPageBreak/>
        <w:t>Инновационная активность организаций промышленности</w:t>
      </w:r>
      <w:bookmarkEnd w:id="9"/>
      <w:bookmarkEnd w:id="10"/>
    </w:p>
    <w:p w14:paraId="12FFED19" w14:textId="77777777" w:rsidR="006E6AEF" w:rsidRDefault="00000000">
      <w:pPr>
        <w:pStyle w:val="TNR0"/>
      </w:pPr>
      <w:r w:rsidRPr="003F222F">
        <w:rPr>
          <w:lang w:val="ru-RU"/>
        </w:rPr>
        <w:t xml:space="preserve">Инновационную активность организаций промышленности характеризуют удельный вес организаций, осуществлявших затраты на инновации и (или) отгружавших инновационную продукцию, а также объём и удельный вес отгруженной инновационной продукции. </w:t>
      </w:r>
      <w:r>
        <w:t xml:space="preserve">Данные приведены в </w:t>
      </w:r>
      <w:hyperlink w:anchor="tbl_1_2" w:history="1">
        <w:r w:rsidR="006E6AEF">
          <w:t>таблице 1.2</w:t>
        </w:r>
      </w:hyperlink>
      <w:r>
        <w:t>.</w:t>
      </w:r>
    </w:p>
    <w:p w14:paraId="7F3792BF" w14:textId="77777777" w:rsidR="006E6AEF" w:rsidRDefault="00000000">
      <w:pPr>
        <w:pStyle w:val="a2"/>
        <w:keepNext/>
        <w:numPr>
          <w:ilvl w:val="4"/>
          <w:numId w:val="0"/>
        </w:numPr>
      </w:pPr>
      <w:bookmarkStart w:id="11" w:name="tbl_1_2"/>
      <w:r>
        <w:t>Таблица 1.2 – Показатели инновационной активности организаций промышленности</w:t>
      </w:r>
      <w:bookmarkEnd w:id="11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33"/>
        <w:gridCol w:w="1079"/>
        <w:gridCol w:w="1079"/>
        <w:gridCol w:w="1079"/>
        <w:gridCol w:w="1079"/>
        <w:gridCol w:w="1079"/>
      </w:tblGrid>
      <w:tr w:rsidR="006E6AEF" w14:paraId="5955BFF9" w14:textId="77777777">
        <w:trPr>
          <w:cantSplit/>
          <w:tblHeader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5B235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268CD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B809A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15ECC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EA38E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56A8F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2025*</w:t>
            </w:r>
          </w:p>
        </w:tc>
      </w:tr>
      <w:tr w:rsidR="006E6AEF" w14:paraId="7D399432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28CFF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Объём отгруженной инновационной продукции (работ, услуг), млрд руб.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7EEC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24,5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0F1F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23,8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01D4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33,1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FE04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36,5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B88B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29,6</w:t>
            </w:r>
          </w:p>
        </w:tc>
      </w:tr>
      <w:tr w:rsidR="006E6AEF" w14:paraId="3BB92B5A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744C4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отгруженной инновационной продукции в общем объёме отгруженной продукции организаций промышленности,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5DDC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92B0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17,7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567D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C8B7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EA26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17,1</w:t>
            </w:r>
          </w:p>
        </w:tc>
      </w:tr>
      <w:tr w:rsidR="006E6AEF" w14:paraId="3F9E6384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0DEAE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организаций промышленности, осуществлявших затраты на инновации, в общем числе обследованных организаций,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BA1E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E51C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4816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28,3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64B0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2A5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22,7</w:t>
            </w:r>
          </w:p>
        </w:tc>
      </w:tr>
      <w:tr w:rsidR="006E6AEF" w14:paraId="3650D855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C9319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организаций промышленности, осуществлявших затраты на инновации и (или) отгружавших инновационную продукцию (работы, услуги), в общем числе обследованных организаций,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3FF4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35,0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3F39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35,1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4002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34,8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6C96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36,0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8A00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26,4</w:t>
            </w:r>
          </w:p>
        </w:tc>
      </w:tr>
    </w:tbl>
    <w:p w14:paraId="568804E7" w14:textId="77777777" w:rsidR="006E6AEF" w:rsidRDefault="006E6AEF"/>
    <w:p w14:paraId="3B30EB75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Примечание – Данные за 2025 год являются предварительными и сформированы с учётом участников холдингов, а также организаций без ведомственной подчинённости со средней численностью работников 50 человек и более </w:t>
      </w:r>
      <w:hyperlink w:anchor="src_53" w:history="1">
        <w:r w:rsidR="006E6AEF" w:rsidRPr="003F222F">
          <w:rPr>
            <w:lang w:val="ru-RU"/>
          </w:rPr>
          <w:t>[53]</w:t>
        </w:r>
      </w:hyperlink>
      <w:r w:rsidRPr="003F222F">
        <w:rPr>
          <w:lang w:val="ru-RU"/>
        </w:rPr>
        <w:t>.</w:t>
      </w:r>
    </w:p>
    <w:p w14:paraId="5EC5C3AA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Объём отгруженной инновационной продукции организациями промышленности вырос с 24,5 млрд руб. в 2021 году до 36,5 млрд руб. в 2024 году, то есть в 1,5 раза. Удельный вес инновационной продукции в общем объёме отгрузки после спада 2022 года (17,7 %) последовательно увеличивался и в 2023–2024 годах составил 22,2–22,3 %. Инновационная активность организаций промышленности также повышалась: удельный вес организаций, осуществлявших затраты на инновации, вырос с 27,5 до 30,1 %, а организаций, осуществлявших затраты на инновации и (или) отгружавших инновационную продукцию, – с 35,0 до 36,0 %.</w:t>
      </w:r>
    </w:p>
    <w:p w14:paraId="63F03AA1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В 2025 году значения инновационных показателей заметно снизились, что в значительной мере объясняется изменением методологии формирования данных: круг обследуемых организаций расширен за счёт участников холдингов </w:t>
      </w:r>
      <w:r w:rsidRPr="003F222F">
        <w:rPr>
          <w:lang w:val="ru-RU"/>
        </w:rPr>
        <w:lastRenderedPageBreak/>
        <w:t xml:space="preserve">и организаций без ведомственной подчинённости со средней численностью работников 50 человек и более </w:t>
      </w:r>
      <w:hyperlink w:anchor="src_53" w:history="1">
        <w:r w:rsidR="006E6AEF" w:rsidRPr="003F222F">
          <w:rPr>
            <w:lang w:val="ru-RU"/>
          </w:rPr>
          <w:t>[53]</w:t>
        </w:r>
      </w:hyperlink>
      <w:r w:rsidRPr="003F222F">
        <w:rPr>
          <w:lang w:val="ru-RU"/>
        </w:rPr>
        <w:t xml:space="preserve">. Кроме того, данные за 2025 год являются предварительными. Поэтому снижение показателей в 2025 году (см. </w:t>
      </w:r>
      <w:hyperlink w:anchor="fig_1_2" w:history="1">
        <w:r w:rsidR="006E6AEF" w:rsidRPr="003F222F">
          <w:rPr>
            <w:lang w:val="ru-RU"/>
          </w:rPr>
          <w:t>рисунок 1.2</w:t>
        </w:r>
      </w:hyperlink>
      <w:r w:rsidRPr="003F222F">
        <w:rPr>
          <w:lang w:val="ru-RU"/>
        </w:rPr>
        <w:t>) не может быть однозначно интерпретировано как ухудшение инновационной активности: сопоставимость данных 2025 года с данными предшествующих лет по данной группе показателей ограничена.</w:t>
      </w:r>
    </w:p>
    <w:p w14:paraId="12062595" w14:textId="77777777" w:rsidR="006E6AEF" w:rsidRPr="003F222F" w:rsidRDefault="006E6AEF">
      <w:pPr>
        <w:pStyle w:val="TNR0"/>
        <w:rPr>
          <w:lang w:val="ru-RU"/>
        </w:rPr>
      </w:pPr>
    </w:p>
    <w:p w14:paraId="10DC789C" w14:textId="77777777" w:rsidR="006E6AEF" w:rsidRDefault="00000000">
      <w:pPr>
        <w:keepNext/>
        <w:jc w:val="center"/>
      </w:pPr>
      <w:r>
        <w:rPr>
          <w:noProof/>
        </w:rPr>
        <w:drawing>
          <wp:inline distT="0" distB="0" distL="0" distR="0" wp14:anchorId="4000F5BE" wp14:editId="7FE05F19">
            <wp:extent cx="5400000" cy="2584205"/>
            <wp:effectExtent l="0" t="0" r="0" b="0"/>
            <wp:docPr id="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AD92" w14:textId="3233403B" w:rsidR="006E6AEF" w:rsidRPr="003F222F" w:rsidRDefault="00000000" w:rsidP="003E5E32">
      <w:pPr>
        <w:pStyle w:val="a3"/>
        <w:numPr>
          <w:ilvl w:val="5"/>
          <w:numId w:val="0"/>
        </w:numPr>
      </w:pPr>
      <w:bookmarkStart w:id="12" w:name="fig_1_2"/>
      <w:r>
        <w:t xml:space="preserve">Рисунок 1.2 – Инновационная активность организаций промышленности </w:t>
      </w:r>
      <w:bookmarkEnd w:id="12"/>
    </w:p>
    <w:p w14:paraId="1475AEB5" w14:textId="77777777" w:rsidR="006E6AEF" w:rsidRDefault="00000000">
      <w:pPr>
        <w:pStyle w:val="20"/>
        <w:keepNext/>
      </w:pPr>
      <w:bookmarkStart w:id="13" w:name="sub_1_4"/>
      <w:bookmarkStart w:id="14" w:name="_Toc241781036"/>
      <w:r>
        <w:t>Развитие цифровой среды и технологической инфраструктуры</w:t>
      </w:r>
      <w:bookmarkEnd w:id="13"/>
      <w:bookmarkEnd w:id="14"/>
    </w:p>
    <w:p w14:paraId="01BC021E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Уровень технологического развития экономики во многом определяется состоянием цифровой среды и инфраструктуры. К соответствующим показателям относятся распространение электронных услуг и административных процедур, доступ населения к сети Интернет, развитие электронной торговли и безналичных расчётов, а также распространение электротранспорта и зарядной инфраструктуры (</w:t>
      </w:r>
      <w:hyperlink w:anchor="tbl_1_3" w:history="1">
        <w:r w:rsidR="006E6AEF" w:rsidRPr="003F222F">
          <w:rPr>
            <w:lang w:val="ru-RU"/>
          </w:rPr>
          <w:t>таблица 1.3</w:t>
        </w:r>
      </w:hyperlink>
      <w:r w:rsidRPr="003F222F">
        <w:rPr>
          <w:lang w:val="ru-RU"/>
        </w:rPr>
        <w:t>).</w:t>
      </w:r>
    </w:p>
    <w:p w14:paraId="24A9DA65" w14:textId="77777777" w:rsidR="006E6AEF" w:rsidRDefault="00000000">
      <w:pPr>
        <w:pStyle w:val="a2"/>
        <w:keepNext/>
        <w:numPr>
          <w:ilvl w:val="4"/>
          <w:numId w:val="0"/>
        </w:numPr>
      </w:pPr>
      <w:bookmarkStart w:id="15" w:name="tbl_1_3"/>
      <w:r>
        <w:t>Таблица 1.3 – Показатели развития цифровой среды и технологической инфраструктуры</w:t>
      </w:r>
      <w:bookmarkEnd w:id="15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33"/>
        <w:gridCol w:w="1079"/>
        <w:gridCol w:w="1079"/>
        <w:gridCol w:w="1079"/>
        <w:gridCol w:w="1079"/>
        <w:gridCol w:w="1079"/>
      </w:tblGrid>
      <w:tr w:rsidR="006E6AEF" w14:paraId="530EA037" w14:textId="77777777">
        <w:trPr>
          <w:cantSplit/>
          <w:tblHeader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C0F97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ED57E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211D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FFD06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A9E74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DA8BA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2025*</w:t>
            </w:r>
          </w:p>
        </w:tc>
      </w:tr>
      <w:tr w:rsidR="006E6AEF" w14:paraId="69C33406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5441B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оказанных электронных услуг и административных процедур посредством ОАИС (на конец года), на 100 человек населения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2AFC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D40F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283C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1401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60B4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1579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CC15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1932</w:t>
            </w:r>
          </w:p>
        </w:tc>
      </w:tr>
      <w:tr w:rsidR="006E6AEF" w14:paraId="7D8DCD99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FB435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абонентов, подключённых к сети Интернет (на конец года), тысяч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1098D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13447,5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85E3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13636,2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20F1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13826,1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A7D6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14112,7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B0A7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14387,6</w:t>
            </w:r>
          </w:p>
        </w:tc>
      </w:tr>
      <w:tr w:rsidR="006E6AEF" w14:paraId="3BC20484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55A45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lastRenderedPageBreak/>
              <w:t>Удельный вес розничного товарооборота, полученного через сеть Интернет, в розничном товарообороте организаций торговли,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4F44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5,6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C91F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6,0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7F3A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8,1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B02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11,7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28C0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14,1</w:t>
            </w:r>
          </w:p>
        </w:tc>
      </w:tr>
      <w:tr w:rsidR="006E6AEF" w14:paraId="475552B5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402FD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розничного товарооборота организаций торговли, полученного путём безналичного расчёта, в розничном товарообороте организаций торговли,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5EE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48,4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BB5B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49,8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69DD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55,2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15C8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60,1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8703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63,5</w:t>
            </w:r>
          </w:p>
        </w:tc>
      </w:tr>
      <w:tr w:rsidR="006E6AEF" w14:paraId="6EF178B1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2BF19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электромобилей и электробусов, находящихся в собственности граждан и организаций (на конец года), единиц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9F7A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2647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E85C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3751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016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7849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5ABA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26587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FA6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55488</w:t>
            </w:r>
          </w:p>
        </w:tc>
      </w:tr>
      <w:tr w:rsidR="006E6AEF" w14:paraId="43C23E85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00EE0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электрических зарядных станций (устройств, колонок), единиц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7899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6DE2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5EFD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1050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DD06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1376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026E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2090</w:t>
            </w:r>
          </w:p>
        </w:tc>
      </w:tr>
    </w:tbl>
    <w:p w14:paraId="0DE547CA" w14:textId="77777777" w:rsidR="006E6AEF" w:rsidRDefault="006E6AEF"/>
    <w:p w14:paraId="2FFFD132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Примечание – Данные за 2025 год являются предварительными </w:t>
      </w:r>
      <w:hyperlink w:anchor="src_53" w:history="1">
        <w:r w:rsidR="006E6AEF" w:rsidRPr="003F222F">
          <w:rPr>
            <w:lang w:val="ru-RU"/>
          </w:rPr>
          <w:t>[53]</w:t>
        </w:r>
      </w:hyperlink>
      <w:r w:rsidRPr="003F222F">
        <w:rPr>
          <w:lang w:val="ru-RU"/>
        </w:rPr>
        <w:t>.</w:t>
      </w:r>
    </w:p>
    <w:p w14:paraId="04094994" w14:textId="77777777" w:rsidR="006E6AEF" w:rsidRDefault="00000000">
      <w:pPr>
        <w:pStyle w:val="TNR0"/>
      </w:pPr>
      <w:r w:rsidRPr="003F222F">
        <w:rPr>
          <w:lang w:val="ru-RU"/>
        </w:rPr>
        <w:t xml:space="preserve">Количество электронных услуг и административных процедур, оказанных посредством общегосударственной автоматизированной информационной системы, выросло с 194 в расчёте на 100 человек населения в 2021 году до 1932 в 2025 году, то есть почти в 10 раз. Число абонентов, подключённых к сети Интернет, увеличилось с 13,4 до 14,4 млн. Доля розничного товарооборота, полученного через сеть Интернет, возросла с 5,6 до 14,1 %, то есть в 2,5 раза, а доля безналичных расчётов в розничном товарообороте организаций торговли – с 48,4 до 63,5 % (см. </w:t>
      </w:r>
      <w:hyperlink w:anchor="fig_1_3" w:history="1">
        <w:r w:rsidR="006E6AEF">
          <w:t>рисунок 1.3</w:t>
        </w:r>
      </w:hyperlink>
      <w:r>
        <w:t>).</w:t>
      </w:r>
    </w:p>
    <w:p w14:paraId="73586125" w14:textId="77777777" w:rsidR="006E6AEF" w:rsidRDefault="006E6AEF">
      <w:pPr>
        <w:pStyle w:val="TNR0"/>
      </w:pPr>
    </w:p>
    <w:p w14:paraId="2093B2FE" w14:textId="77777777" w:rsidR="006E6AEF" w:rsidRDefault="00000000">
      <w:pPr>
        <w:keepNext/>
        <w:jc w:val="center"/>
      </w:pPr>
      <w:r>
        <w:rPr>
          <w:noProof/>
        </w:rPr>
        <w:drawing>
          <wp:inline distT="0" distB="0" distL="0" distR="0" wp14:anchorId="5DAD438E" wp14:editId="5B0599FE">
            <wp:extent cx="5400000" cy="2328113"/>
            <wp:effectExtent l="0" t="0" r="0" b="0"/>
            <wp:docPr id="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2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7923" w14:textId="6596E53B" w:rsidR="006E6AEF" w:rsidRDefault="00000000">
      <w:pPr>
        <w:pStyle w:val="a3"/>
        <w:numPr>
          <w:ilvl w:val="5"/>
          <w:numId w:val="0"/>
        </w:numPr>
      </w:pPr>
      <w:bookmarkStart w:id="16" w:name="fig_1_3"/>
      <w:r>
        <w:t xml:space="preserve">Рисунок 1.3 – Развитие цифровой среды Республики Беларусь </w:t>
      </w:r>
      <w:bookmarkEnd w:id="16"/>
    </w:p>
    <w:p w14:paraId="73A21CC3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lastRenderedPageBreak/>
        <w:t>Наиболее динамично развивается электрический транспорт: количество электромобилей и электробусов в собственности граждан и организаций увеличилось с 2647 единиц на конец 2021 года до 55 488 единиц на конец 2025 года, то есть более чем в 20 раз. Количество электрических зарядных станций, учитываемое с 2023 года, выросло с 1050 до 2090 единиц. Такие темпы свидетельствуют о формировании новой технологической инфраструктуры и об ускоренном переходе транспорта на альтернативные источники энергии.</w:t>
      </w:r>
    </w:p>
    <w:p w14:paraId="2D365802" w14:textId="77777777" w:rsidR="006E6AEF" w:rsidRPr="003F222F" w:rsidRDefault="006E6AEF">
      <w:pPr>
        <w:pStyle w:val="TNR0"/>
        <w:rPr>
          <w:lang w:val="ru-RU"/>
        </w:rPr>
      </w:pPr>
    </w:p>
    <w:p w14:paraId="18DAFF40" w14:textId="77777777" w:rsidR="006E6AEF" w:rsidRDefault="00000000">
      <w:pPr>
        <w:pStyle w:val="20"/>
        <w:keepNext/>
      </w:pPr>
      <w:bookmarkStart w:id="17" w:name="sub_1_5"/>
      <w:bookmarkStart w:id="18" w:name="_Toc241781037"/>
      <w:r>
        <w:t>Экспорт наукоёмкой и высокотехнологичной продукции</w:t>
      </w:r>
      <w:bookmarkEnd w:id="17"/>
      <w:bookmarkEnd w:id="18"/>
    </w:p>
    <w:p w14:paraId="247EE868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Экспортные показатели характеризуют способность национальной экономики производить конкурентоспособную на мировых рынках наукоёмкую и высокотехнологичную продукцию. Данные приведены в </w:t>
      </w:r>
      <w:hyperlink w:anchor="tbl_1_4" w:history="1">
        <w:r w:rsidR="006E6AEF" w:rsidRPr="003F222F">
          <w:rPr>
            <w:lang w:val="ru-RU"/>
          </w:rPr>
          <w:t>таблице 1.4</w:t>
        </w:r>
      </w:hyperlink>
      <w:r w:rsidRPr="003F222F">
        <w:rPr>
          <w:lang w:val="ru-RU"/>
        </w:rPr>
        <w:t>.</w:t>
      </w:r>
    </w:p>
    <w:p w14:paraId="33A6B36D" w14:textId="77777777" w:rsidR="006E6AEF" w:rsidRDefault="00000000">
      <w:pPr>
        <w:pStyle w:val="a2"/>
        <w:keepNext/>
        <w:numPr>
          <w:ilvl w:val="4"/>
          <w:numId w:val="0"/>
        </w:numPr>
      </w:pPr>
      <w:bookmarkStart w:id="19" w:name="tbl_1_4"/>
      <w:r>
        <w:t>Таблица 1.4 – Показатели экспорта наукоёмкой и высокотехнологичной продукции</w:t>
      </w:r>
      <w:bookmarkEnd w:id="19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233"/>
        <w:gridCol w:w="1079"/>
        <w:gridCol w:w="1079"/>
        <w:gridCol w:w="1079"/>
        <w:gridCol w:w="1079"/>
        <w:gridCol w:w="1079"/>
      </w:tblGrid>
      <w:tr w:rsidR="006E6AEF" w14:paraId="64597AD4" w14:textId="77777777">
        <w:trPr>
          <w:cantSplit/>
          <w:tblHeader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E27AE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Показатель (доля в общем объёме экспорта товаров и услуг)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4F1D5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E7E5A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213D8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01471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1E1F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2025*</w:t>
            </w:r>
          </w:p>
        </w:tc>
      </w:tr>
      <w:tr w:rsidR="006E6AEF" w14:paraId="5F196C89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A029D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Наукоёмкая и высокотехнологичная продукция,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3149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36,5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95FE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37,6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1481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39,8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730C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38,1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6683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36,2</w:t>
            </w:r>
          </w:p>
        </w:tc>
      </w:tr>
      <w:tr w:rsidR="006E6AEF" w14:paraId="0DFDCC89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59A16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Высокотехнологичные товары,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5216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2,3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0079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3,2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F560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3,6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57E7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1E01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3,9</w:t>
            </w:r>
          </w:p>
        </w:tc>
      </w:tr>
      <w:tr w:rsidR="006E6AEF" w14:paraId="7B7CBC3E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C6DDF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Среднетехнологичные товары высокого уровня,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FF68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07B5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24,4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7C52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2D37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24,8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55F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22,6</w:t>
            </w:r>
          </w:p>
        </w:tc>
      </w:tr>
      <w:tr w:rsidR="006E6AEF" w14:paraId="5D1C070A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E9CB7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Наукоёмкие высокотехнологичные услуги,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F24F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6,9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A2E1D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6,7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7D73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83A2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C274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4,7</w:t>
            </w:r>
          </w:p>
        </w:tc>
      </w:tr>
      <w:tr w:rsidR="006E6AEF" w14:paraId="3A6BDB9F" w14:textId="77777777">
        <w:trPr>
          <w:cantSplit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6FD93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Наукоёмкие рыночные услуги, %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ABC4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6D64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3,1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62DE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B591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5E2D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4,8</w:t>
            </w:r>
          </w:p>
        </w:tc>
      </w:tr>
    </w:tbl>
    <w:p w14:paraId="56D53F39" w14:textId="77777777" w:rsidR="006E6AEF" w:rsidRDefault="006E6AEF"/>
    <w:p w14:paraId="4DE74D17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Примечание – Данные за 2025 год являются предварительными </w:t>
      </w:r>
      <w:hyperlink w:anchor="src_53" w:history="1">
        <w:r w:rsidR="006E6AEF" w:rsidRPr="003F222F">
          <w:rPr>
            <w:lang w:val="ru-RU"/>
          </w:rPr>
          <w:t>[53]</w:t>
        </w:r>
      </w:hyperlink>
      <w:r w:rsidRPr="003F222F">
        <w:rPr>
          <w:lang w:val="ru-RU"/>
        </w:rPr>
        <w:t>.</w:t>
      </w:r>
    </w:p>
    <w:p w14:paraId="3D854DF6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Доля экспорта наукоёмкой и высокотехнологичной продукции в общем объёме экспорта товаров и услуг повышалась до 2023 года, когда она достигла 39,8 %, после чего снизилась до 36,2 % в 2025 году. Аналогичная динамика характерна для экспорта среднетехнологичных товаров высокого уровня: рост с 22,8 % в 2021 году до 27,3 % в 2023 году и последующее снижение до 22,6 %. При этом удельный вес экспорта высокотехнологичных товаров за анализируемый период в целом вырос – с 2,3 до 3,9 % при максимуме 4,3 % в 2024 году.</w:t>
      </w:r>
    </w:p>
    <w:p w14:paraId="3E0CB1B5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Динамика экспорта наукоёмких услуг разнонаправленная: удельный вес наукоёмких высокотехнологичных услуг сократился с 6,9 % в 2021 году до 4,5 % в 2024 году, тогда как удельный вес наукоёмких рыночных услуг в 2024–2025 годах превысил уровень начала периода (4,8 % против 4,2 % в 2021 году). Совокупные изменения отражают структурную перестройку экспорта </w:t>
      </w:r>
      <w:r w:rsidRPr="003F222F">
        <w:rPr>
          <w:lang w:val="ru-RU"/>
        </w:rPr>
        <w:lastRenderedPageBreak/>
        <w:t>наукоёмкой продукции под влиянием внешнеторговых ограничений и переориентации рынков сбыта.</w:t>
      </w:r>
    </w:p>
    <w:p w14:paraId="080A3058" w14:textId="77777777" w:rsidR="006E6AEF" w:rsidRPr="003F222F" w:rsidRDefault="006E6AEF">
      <w:pPr>
        <w:pStyle w:val="TNR0"/>
        <w:rPr>
          <w:lang w:val="ru-RU"/>
        </w:rPr>
      </w:pPr>
    </w:p>
    <w:p w14:paraId="09ED4D4E" w14:textId="77777777" w:rsidR="006E6AEF" w:rsidRDefault="00000000">
      <w:pPr>
        <w:pStyle w:val="20"/>
        <w:keepNext/>
      </w:pPr>
      <w:bookmarkStart w:id="20" w:name="sub_1_6"/>
      <w:bookmarkStart w:id="21" w:name="_Toc241781038"/>
      <w:r>
        <w:t>Выводы</w:t>
      </w:r>
      <w:bookmarkEnd w:id="20"/>
      <w:bookmarkEnd w:id="21"/>
    </w:p>
    <w:p w14:paraId="6FBB58B0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Проведённый анализ показателей оценки уровня технологического развития экономики Республики Беларусь за 2021–2025 годы позволяет сделать следующие выводы.</w:t>
      </w:r>
    </w:p>
    <w:p w14:paraId="0146505A" w14:textId="072A8221" w:rsidR="006E6AEF" w:rsidRDefault="00000000">
      <w:pPr>
        <w:pStyle w:val="a0"/>
      </w:pPr>
      <w:r>
        <w:t>Кадровый потенциал науки и интенсивность научных исследований устойчиво растут: численность исследователей в расчёте на 1 млн жителей увеличилась на 14,1 %, наукоёмкость ВВП – с 0,46 до 0,55 %</w:t>
      </w:r>
      <w:r w:rsidR="00356D54">
        <w:t>.</w:t>
      </w:r>
    </w:p>
    <w:p w14:paraId="01853C47" w14:textId="0FD2A4BC" w:rsidR="006E6AEF" w:rsidRDefault="00000000">
      <w:pPr>
        <w:pStyle w:val="a0"/>
      </w:pPr>
      <w:r>
        <w:t>В обрабатывающей промышленности происходит постепенный структурный сдвиг в пользу высокотехнологичных производств, доля которых в добавленной стоимости выросла в 1,5 раза. При этом доля высокотехнологичных и наукоёмких отраслей в ВВП остаётся стабильной (около 30 %), а совокупная доля с учётом среднетехнологичных производств высокого уровня снижается</w:t>
      </w:r>
      <w:r w:rsidR="00356D54">
        <w:t>.</w:t>
      </w:r>
    </w:p>
    <w:p w14:paraId="6F663061" w14:textId="53CE1909" w:rsidR="006E6AEF" w:rsidRDefault="00000000">
      <w:pPr>
        <w:pStyle w:val="a0"/>
      </w:pPr>
      <w:r>
        <w:t>Инновационная активность организаций промышленности до 2024 года последовательно повышалась и сопровождалась ростом объёма отгруженной инновационной продукции в 1,5 раза. Оценка показателей за 2025 год осложнена изменением методологии формирования данных и их предварительным характером</w:t>
      </w:r>
      <w:r w:rsidR="00356D54">
        <w:t>.</w:t>
      </w:r>
    </w:p>
    <w:p w14:paraId="3E5AF49B" w14:textId="26D8AE6F" w:rsidR="006E6AEF" w:rsidRDefault="00000000">
      <w:pPr>
        <w:pStyle w:val="a0"/>
      </w:pPr>
      <w:r>
        <w:t>Цифровая среда развивается опережающими темпами: распространение электронных услуг, электронной торговли, безналичных расчётов и электротранспорта демонстрирует кратный рост, что формирует инфраструктурную базу технологического развития экономики</w:t>
      </w:r>
      <w:r w:rsidR="00356D54">
        <w:t>.</w:t>
      </w:r>
    </w:p>
    <w:p w14:paraId="4266B719" w14:textId="77777777" w:rsidR="006E6AEF" w:rsidRDefault="00000000">
      <w:pPr>
        <w:pStyle w:val="a0"/>
      </w:pPr>
      <w:r>
        <w:t>Экспорт наукоёмкой и высокотехнологичной продукции после роста до 2023 года снижается. В структуре экспорта наукоёмких услуг происходит смещение от высокотехнологичных услуг к наукоёмким рыночным услугам.</w:t>
      </w:r>
    </w:p>
    <w:p w14:paraId="798B1D49" w14:textId="1AD14018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Таким образом, в системе организации научно-исследовательской деятельности Республики Беларусь позитивные тенденции (рост кадрового потенциала и наукоёмкости ВВП, технологическое обновление промышленности, ускоренная цифровизация) сочетаются с сохраняющимися вызовами – относительно низкой наукоёмкостью </w:t>
      </w:r>
      <w:r>
        <w:t>ВВП и снижением экспортных позиций наукоёмкой продукции.</w:t>
      </w:r>
    </w:p>
    <w:p w14:paraId="68EF663D" w14:textId="77777777" w:rsidR="006E6AEF" w:rsidRPr="003F222F" w:rsidRDefault="00000000">
      <w:pPr>
        <w:pStyle w:val="10"/>
        <w:pageBreakBefore/>
        <w:rPr>
          <w:lang w:val="ru-RU"/>
        </w:rPr>
      </w:pPr>
      <w:bookmarkStart w:id="22" w:name="sub_2"/>
      <w:bookmarkStart w:id="23" w:name="_Toc241781039"/>
      <w:r w:rsidRPr="003F222F">
        <w:rPr>
          <w:lang w:val="ru-RU"/>
        </w:rPr>
        <w:lastRenderedPageBreak/>
        <w:t>Литературный анализ по теме «Инструменты менеджмента качества в повышении эффективности управления жизненным циклом разработки программного продукта»</w:t>
      </w:r>
      <w:bookmarkEnd w:id="22"/>
      <w:bookmarkEnd w:id="23"/>
    </w:p>
    <w:p w14:paraId="43322194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Для проведения аналитического обзора из темы выделены пять ключевых понятий:</w:t>
      </w:r>
    </w:p>
    <w:p w14:paraId="753F086C" w14:textId="77777777" w:rsidR="006E6AEF" w:rsidRDefault="00000000">
      <w:pPr>
        <w:pStyle w:val="1"/>
      </w:pPr>
      <w:r>
        <w:t>«менеджмент качества»;</w:t>
      </w:r>
    </w:p>
    <w:p w14:paraId="0E331963" w14:textId="77777777" w:rsidR="006E6AEF" w:rsidRDefault="00000000">
      <w:pPr>
        <w:pStyle w:val="1"/>
      </w:pPr>
      <w:r>
        <w:t>«качество программного продукта»;</w:t>
      </w:r>
    </w:p>
    <w:p w14:paraId="5961B212" w14:textId="77777777" w:rsidR="006E6AEF" w:rsidRDefault="00000000">
      <w:pPr>
        <w:pStyle w:val="1"/>
      </w:pPr>
      <w:r>
        <w:t>«жизненный цикл программного обеспечения»;</w:t>
      </w:r>
    </w:p>
    <w:p w14:paraId="13F944D8" w14:textId="77777777" w:rsidR="006E6AEF" w:rsidRDefault="00000000">
      <w:pPr>
        <w:pStyle w:val="1"/>
      </w:pPr>
      <w:r>
        <w:t>«инструменты менеджмента качества»;</w:t>
      </w:r>
    </w:p>
    <w:p w14:paraId="5CD2BFF3" w14:textId="77777777" w:rsidR="006E6AEF" w:rsidRPr="003F222F" w:rsidRDefault="00000000">
      <w:pPr>
        <w:pStyle w:val="1"/>
        <w:rPr>
          <w:lang w:val="ru-RU"/>
        </w:rPr>
      </w:pPr>
      <w:r w:rsidRPr="003F222F">
        <w:rPr>
          <w:lang w:val="ru-RU"/>
        </w:rPr>
        <w:t>«эффективность управления разработкой программного продукта».</w:t>
      </w:r>
    </w:p>
    <w:p w14:paraId="1C1AB0EF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По каждому понятию рассмотрены определения, приводимые в источниках, после чего выполнен сопоставительный анализ определений с выявлением сходств и различий в работах исследователей.</w:t>
      </w:r>
    </w:p>
    <w:p w14:paraId="47028AA1" w14:textId="77777777" w:rsidR="006E6AEF" w:rsidRPr="003F222F" w:rsidRDefault="006E6AEF">
      <w:pPr>
        <w:pStyle w:val="TNR0"/>
        <w:rPr>
          <w:lang w:val="ru-RU"/>
        </w:rPr>
      </w:pPr>
    </w:p>
    <w:p w14:paraId="478D191B" w14:textId="77777777" w:rsidR="006E6AEF" w:rsidRDefault="00000000">
      <w:pPr>
        <w:pStyle w:val="20"/>
        <w:keepNext/>
      </w:pPr>
      <w:bookmarkStart w:id="24" w:name="sub_2_1"/>
      <w:bookmarkStart w:id="25" w:name="_Toc241781040"/>
      <w:r>
        <w:t>Понятие «менеджмент качества»</w:t>
      </w:r>
      <w:bookmarkEnd w:id="24"/>
      <w:bookmarkEnd w:id="25"/>
    </w:p>
    <w:p w14:paraId="0B08F9C1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Базовое определение менеджмента качества зафиксировано в национальном стандарте ГОСТ Р ИСО 9000-2015 </w:t>
      </w:r>
      <w:hyperlink w:anchor="src_2" w:history="1">
        <w:r w:rsidR="006E6AEF" w:rsidRPr="003F222F">
          <w:rPr>
            <w:lang w:val="ru-RU"/>
          </w:rPr>
          <w:t>[2]</w:t>
        </w:r>
      </w:hyperlink>
      <w:r w:rsidRPr="003F222F">
        <w:rPr>
          <w:lang w:val="ru-RU"/>
        </w:rPr>
        <w:t xml:space="preserve">, согласующемся с международным стандартом </w:t>
      </w:r>
      <w:r>
        <w:t>ISO</w:t>
      </w:r>
      <w:r w:rsidRPr="003F222F">
        <w:rPr>
          <w:lang w:val="ru-RU"/>
        </w:rPr>
        <w:t xml:space="preserve"> 9000: менеджмент качества определяется как «менеджмент применительно к качеству». При этом отмечается, что менеджмент качества может включать формирование политики и целей в области качества, а также достижение этих целей посредством таких процессов, как планирование качества, обеспечение качества, управление качеством и улучшение качества. Аналогичное определение содержится в стандарте </w:t>
      </w:r>
      <w:r>
        <w:t>ISO</w:t>
      </w:r>
      <w:r w:rsidRPr="003F222F">
        <w:rPr>
          <w:lang w:val="ru-RU"/>
        </w:rPr>
        <w:t xml:space="preserve"> 9001:2015 </w:t>
      </w:r>
      <w:hyperlink w:anchor="src_92" w:history="1">
        <w:r w:rsidR="006E6AEF" w:rsidRPr="003F222F">
          <w:rPr>
            <w:lang w:val="ru-RU"/>
          </w:rPr>
          <w:t>[92]</w:t>
        </w:r>
      </w:hyperlink>
      <w:r w:rsidRPr="003F222F">
        <w:rPr>
          <w:lang w:val="ru-RU"/>
        </w:rPr>
        <w:t xml:space="preserve">, устанавливающем требования к системе менеджмента качества организации. В российской учебной литературе управление качеством традиционно трактуется шире производственного контекста: И. И. Мазур и В. Д. Шапиро рассматривают его как методы и виды деятельности оперативного характера, направленные на выполнение требований к качеству, в единстве с политикой и планированием качества </w:t>
      </w:r>
      <w:hyperlink w:anchor="src_15" w:history="1">
        <w:r w:rsidR="006E6AEF" w:rsidRPr="003F222F">
          <w:rPr>
            <w:lang w:val="ru-RU"/>
          </w:rPr>
          <w:t>[15]</w:t>
        </w:r>
      </w:hyperlink>
      <w:r w:rsidRPr="003F222F">
        <w:rPr>
          <w:lang w:val="ru-RU"/>
        </w:rPr>
        <w:t>.</w:t>
      </w:r>
    </w:p>
    <w:p w14:paraId="72620587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В работах зарубежных авторов прослеживается несколько самостоятельных линий в определении качества и менеджмента качества. Ф. Кросби определяет качество как «соответствие пользовательским требованиям», подчёркивая, что качество может быть выражено количественно и измерено. У. Хамфри, автор концепции модели зрелости </w:t>
      </w:r>
      <w:r>
        <w:t>CMM</w:t>
      </w:r>
      <w:r w:rsidRPr="003F222F">
        <w:rPr>
          <w:lang w:val="ru-RU"/>
        </w:rPr>
        <w:t xml:space="preserve">, описывает качество как «достижение отличного уровня пригодности к использованию» </w:t>
      </w:r>
      <w:hyperlink w:anchor="src_64" w:history="1">
        <w:r w:rsidR="006E6AEF" w:rsidRPr="00426D46">
          <w:rPr>
            <w:lang w:val="ru-RU"/>
          </w:rPr>
          <w:t>[64]</w:t>
        </w:r>
      </w:hyperlink>
      <w:r w:rsidRPr="00426D46">
        <w:rPr>
          <w:lang w:val="ru-RU"/>
        </w:rPr>
        <w:t xml:space="preserve">. </w:t>
      </w:r>
      <w:r w:rsidRPr="003F222F">
        <w:rPr>
          <w:lang w:val="ru-RU"/>
        </w:rPr>
        <w:t xml:space="preserve">Компания </w:t>
      </w:r>
      <w:r>
        <w:lastRenderedPageBreak/>
        <w:t>IBM</w:t>
      </w:r>
      <w:r w:rsidRPr="003F222F">
        <w:rPr>
          <w:lang w:val="ru-RU"/>
        </w:rPr>
        <w:t xml:space="preserve"> использует подход «качество, управляемое рыночными потребностями» (</w:t>
      </w:r>
      <w:r>
        <w:t>market</w:t>
      </w:r>
      <w:r w:rsidRPr="003F222F">
        <w:rPr>
          <w:lang w:val="ru-RU"/>
        </w:rPr>
        <w:t>-</w:t>
      </w:r>
      <w:r>
        <w:t>driven</w:t>
      </w:r>
      <w:r w:rsidRPr="003F222F">
        <w:rPr>
          <w:lang w:val="ru-RU"/>
        </w:rPr>
        <w:t xml:space="preserve"> </w:t>
      </w:r>
      <w:r>
        <w:t>quality</w:t>
      </w:r>
      <w:r w:rsidRPr="003F222F">
        <w:rPr>
          <w:lang w:val="ru-RU"/>
        </w:rPr>
        <w:t xml:space="preserve">) </w:t>
      </w:r>
      <w:hyperlink w:anchor="src_64" w:history="1">
        <w:r w:rsidR="006E6AEF" w:rsidRPr="003F222F">
          <w:rPr>
            <w:lang w:val="ru-RU"/>
          </w:rPr>
          <w:t>[64]</w:t>
        </w:r>
      </w:hyperlink>
      <w:r w:rsidRPr="003F222F">
        <w:rPr>
          <w:lang w:val="ru-RU"/>
        </w:rPr>
        <w:t xml:space="preserve">. Более содержательные трактовки предлагают представители классических школ менеджмента качества. Сторонники школы статистического управления качеством, к которым принадлежит У. Э. Деминг, связывают качество с постоянным улучшением процессов на основе статистического мышления и цикла </w:t>
      </w:r>
      <w:r>
        <w:t>PDCA</w:t>
      </w:r>
      <w:r w:rsidRPr="003F222F">
        <w:rPr>
          <w:lang w:val="ru-RU"/>
        </w:rPr>
        <w:t xml:space="preserve"> [12, 83]. Дж. М. Джуран, представляющий управленческую школу, определяет качество как «пригодность к использованию» потребителем (</w:t>
      </w:r>
      <w:r>
        <w:t>fitness</w:t>
      </w:r>
      <w:r w:rsidRPr="003F222F">
        <w:rPr>
          <w:lang w:val="ru-RU"/>
        </w:rPr>
        <w:t xml:space="preserve"> </w:t>
      </w:r>
      <w:r>
        <w:t>for</w:t>
      </w:r>
      <w:r w:rsidRPr="003F222F">
        <w:rPr>
          <w:lang w:val="ru-RU"/>
        </w:rPr>
        <w:t xml:space="preserve"> </w:t>
      </w:r>
      <w:r>
        <w:t>use</w:t>
      </w:r>
      <w:r w:rsidRPr="003F222F">
        <w:rPr>
          <w:lang w:val="ru-RU"/>
        </w:rPr>
        <w:t xml:space="preserve">) </w:t>
      </w:r>
      <w:hyperlink w:anchor="src_95" w:history="1">
        <w:r w:rsidR="006E6AEF" w:rsidRPr="003F222F">
          <w:rPr>
            <w:lang w:val="ru-RU"/>
          </w:rPr>
          <w:t>[95]</w:t>
        </w:r>
      </w:hyperlink>
      <w:r w:rsidRPr="003F222F">
        <w:rPr>
          <w:lang w:val="ru-RU"/>
        </w:rPr>
        <w:t xml:space="preserve">. Сторонник японской школы всеобщего контроля качества К. Исикава видит основу качества во вовлечении всех работников предприятия в непрерывное совершенствование </w:t>
      </w:r>
      <w:hyperlink w:anchor="src_91" w:history="1">
        <w:r w:rsidR="006E6AEF" w:rsidRPr="003F222F">
          <w:rPr>
            <w:lang w:val="ru-RU"/>
          </w:rPr>
          <w:t>[91]</w:t>
        </w:r>
      </w:hyperlink>
      <w:r w:rsidRPr="003F222F">
        <w:rPr>
          <w:lang w:val="ru-RU"/>
        </w:rPr>
        <w:t>.</w:t>
      </w:r>
    </w:p>
    <w:p w14:paraId="357AF086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Существенно, что применительно к разработке программного обеспечения понятия «управление качеством», «обеспечение качества» и «менеджмент качества» требуют разграничения: Е. М. Иванченко показывает, что в практике разработки ПО эти термины нередко смешиваются, тогда как за каждым из них стоит свой круг процессов – от оперативного контроля дефектов до системного управления всей деятельностью организации в области качества </w:t>
      </w:r>
      <w:hyperlink w:anchor="src_38" w:history="1">
        <w:r w:rsidR="006E6AEF" w:rsidRPr="003F222F">
          <w:rPr>
            <w:lang w:val="ru-RU"/>
          </w:rPr>
          <w:t>[38]</w:t>
        </w:r>
      </w:hyperlink>
      <w:r w:rsidRPr="003F222F">
        <w:rPr>
          <w:lang w:val="ru-RU"/>
        </w:rPr>
        <w:t xml:space="preserve">. П. В. Струбалин и А. А. Фатьянова, анализируя управление качеством программного обеспечения, приходят к выводу, что общим для всех рассмотренных определений является ориентация на количественные методы оценки достижения поставленных целей </w:t>
      </w:r>
      <w:hyperlink w:anchor="src_64" w:history="1">
        <w:r w:rsidR="006E6AEF" w:rsidRPr="003F222F">
          <w:rPr>
            <w:lang w:val="ru-RU"/>
          </w:rPr>
          <w:t>[64]</w:t>
        </w:r>
      </w:hyperlink>
      <w:r w:rsidRPr="003F222F">
        <w:rPr>
          <w:lang w:val="ru-RU"/>
        </w:rPr>
        <w:t>.</w:t>
      </w:r>
    </w:p>
    <w:p w14:paraId="486A0E7C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Таким образом, сходствами рассмотренных определений являются ориентация на потребителя, процессный и системный подход, а также опора на измерения и принятие решений на основе фактов. Расхождения связаны с широтой трактовки: от узкого производственного понимания (соответствие спецификации) до рыночного (удовлетворение потребностей заинтересованных сторон) и от контроля готовой продукции до управления всей деятельностью организации применительно к качеству.</w:t>
      </w:r>
    </w:p>
    <w:p w14:paraId="27BA81AA" w14:textId="77777777" w:rsidR="006E6AEF" w:rsidRPr="003F222F" w:rsidRDefault="006E6AEF">
      <w:pPr>
        <w:pStyle w:val="TNR0"/>
        <w:rPr>
          <w:lang w:val="ru-RU"/>
        </w:rPr>
      </w:pPr>
    </w:p>
    <w:p w14:paraId="390D2FB3" w14:textId="77777777" w:rsidR="006E6AEF" w:rsidRDefault="00000000">
      <w:pPr>
        <w:pStyle w:val="20"/>
        <w:keepNext/>
      </w:pPr>
      <w:bookmarkStart w:id="26" w:name="sub_2_2"/>
      <w:bookmarkStart w:id="27" w:name="_Toc241781041"/>
      <w:r>
        <w:t>Понятие «качество программного продукта»</w:t>
      </w:r>
      <w:bookmarkEnd w:id="26"/>
      <w:bookmarkEnd w:id="27"/>
    </w:p>
    <w:p w14:paraId="49EBB0CE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Исходным для анализа выступает определение качества из ГОСТ Р ИСО 9000-2015 </w:t>
      </w:r>
      <w:hyperlink w:anchor="src_2" w:history="1">
        <w:r w:rsidR="006E6AEF" w:rsidRPr="003F222F">
          <w:rPr>
            <w:lang w:val="ru-RU"/>
          </w:rPr>
          <w:t>[2]</w:t>
        </w:r>
      </w:hyperlink>
      <w:r w:rsidRPr="003F222F">
        <w:rPr>
          <w:lang w:val="ru-RU"/>
        </w:rPr>
        <w:t xml:space="preserve">: качество – «степень соответствия совокупности присущих характеристик объекта требованиям». Данная формулировка носит универсальный характер и распространяется на любые объекты, включая программные продукты. Отраслевая конкретизация содержится в стандарте серии </w:t>
      </w:r>
      <w:r>
        <w:t>SQuaRE</w:t>
      </w:r>
      <w:r w:rsidRPr="003F222F">
        <w:rPr>
          <w:lang w:val="ru-RU"/>
        </w:rPr>
        <w:t xml:space="preserve">: ГОСТ Р ИСО/МЭК 25010-2015 </w:t>
      </w:r>
      <w:hyperlink w:anchor="src_6" w:history="1">
        <w:r w:rsidR="006E6AEF" w:rsidRPr="003F222F">
          <w:rPr>
            <w:lang w:val="ru-RU"/>
          </w:rPr>
          <w:t>[6]</w:t>
        </w:r>
      </w:hyperlink>
      <w:r w:rsidRPr="003F222F">
        <w:rPr>
          <w:lang w:val="ru-RU"/>
        </w:rPr>
        <w:t xml:space="preserve"> и его международная новейшая редакция </w:t>
      </w:r>
      <w:r>
        <w:t>ISO</w:t>
      </w:r>
      <w:r w:rsidRPr="003F222F">
        <w:rPr>
          <w:lang w:val="ru-RU"/>
        </w:rPr>
        <w:t>/</w:t>
      </w:r>
      <w:r>
        <w:t>IEC</w:t>
      </w:r>
      <w:r w:rsidRPr="003F222F">
        <w:rPr>
          <w:lang w:val="ru-RU"/>
        </w:rPr>
        <w:t xml:space="preserve"> 25010:2023 </w:t>
      </w:r>
      <w:hyperlink w:anchor="src_93" w:history="1">
        <w:r w:rsidR="006E6AEF" w:rsidRPr="003F222F">
          <w:rPr>
            <w:lang w:val="ru-RU"/>
          </w:rPr>
          <w:t>[93]</w:t>
        </w:r>
      </w:hyperlink>
      <w:r w:rsidRPr="003F222F">
        <w:rPr>
          <w:lang w:val="ru-RU"/>
        </w:rPr>
        <w:t xml:space="preserve"> задают модель качества </w:t>
      </w:r>
      <w:r w:rsidRPr="003F222F">
        <w:rPr>
          <w:lang w:val="ru-RU"/>
        </w:rPr>
        <w:lastRenderedPageBreak/>
        <w:t xml:space="preserve">программного обеспечения в виде совокупности характеристик (функциональная пригодность, производительная эффективность, совместимость, удобство использования, надёжность, защищённость, сопровождаемость, переносимость) с соответствующими метриками. Методические основы применения серии </w:t>
      </w:r>
      <w:r>
        <w:t>SQuaRE</w:t>
      </w:r>
      <w:r w:rsidRPr="003F222F">
        <w:rPr>
          <w:lang w:val="ru-RU"/>
        </w:rPr>
        <w:t xml:space="preserve"> закреплены в ГОСТ Р ИСО/МЭК 25000-2021 </w:t>
      </w:r>
      <w:hyperlink w:anchor="src_5" w:history="1">
        <w:r w:rsidR="006E6AEF" w:rsidRPr="003F222F">
          <w:rPr>
            <w:lang w:val="ru-RU"/>
          </w:rPr>
          <w:t>[5]</w:t>
        </w:r>
      </w:hyperlink>
      <w:r w:rsidRPr="003F222F">
        <w:rPr>
          <w:lang w:val="ru-RU"/>
        </w:rPr>
        <w:t xml:space="preserve">, а модель качества данных – в ГОСТ Р ИСО/МЭК 25012-2014 </w:t>
      </w:r>
      <w:hyperlink w:anchor="src_7" w:history="1">
        <w:r w:rsidR="006E6AEF" w:rsidRPr="003F222F">
          <w:rPr>
            <w:lang w:val="ru-RU"/>
          </w:rPr>
          <w:t>[7]</w:t>
        </w:r>
      </w:hyperlink>
      <w:r w:rsidRPr="003F222F">
        <w:rPr>
          <w:lang w:val="ru-RU"/>
        </w:rPr>
        <w:t>.</w:t>
      </w:r>
    </w:p>
    <w:p w14:paraId="71EAB350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В русскоязычной литературе встречаются как нормативные, так и авторские трактовки. А. А. Парамзина и Е. Н. Тищенко определяют качество программного обеспечения как «комплекс характеристик программного продукта, определяющих способность выполнять возложенные на него функции» </w:t>
      </w:r>
      <w:hyperlink w:anchor="src_57" w:history="1">
        <w:r w:rsidR="006E6AEF" w:rsidRPr="003F222F">
          <w:rPr>
            <w:lang w:val="ru-RU"/>
          </w:rPr>
          <w:t>[57]</w:t>
        </w:r>
      </w:hyperlink>
      <w:r w:rsidRPr="003F222F">
        <w:rPr>
          <w:lang w:val="ru-RU"/>
        </w:rPr>
        <w:t xml:space="preserve">. Обзор подходов к определению понятия качества ПО выполнен П. В. Струбалиным и А. А. Фатьяновой: помимо уже упомянутых определений Ф. Кросби, У. Хамфри и </w:t>
      </w:r>
      <w:r>
        <w:t>IBM</w:t>
      </w:r>
      <w:r w:rsidRPr="003F222F">
        <w:rPr>
          <w:lang w:val="ru-RU"/>
        </w:rPr>
        <w:t xml:space="preserve">, авторы фиксируют смещение требований к оценке качества от поиска ошибок в коде к использованию совокупности критериев, включая защищённость информации </w:t>
      </w:r>
      <w:hyperlink w:anchor="src_64" w:history="1">
        <w:r w:rsidR="006E6AEF" w:rsidRPr="003F222F">
          <w:rPr>
            <w:lang w:val="ru-RU"/>
          </w:rPr>
          <w:t>[64]</w:t>
        </w:r>
      </w:hyperlink>
      <w:r w:rsidRPr="003F222F">
        <w:rPr>
          <w:lang w:val="ru-RU"/>
        </w:rPr>
        <w:t xml:space="preserve">. О. Ю. Берг и соавторы в начале 2000-х гг. сформулировали задачи улучшения качества программных продуктов, связав их с измеримыми критериями качества </w:t>
      </w:r>
      <w:hyperlink w:anchor="src_22" w:history="1">
        <w:r w:rsidR="006E6AEF" w:rsidRPr="003F222F">
          <w:rPr>
            <w:lang w:val="ru-RU"/>
          </w:rPr>
          <w:t>[22]</w:t>
        </w:r>
      </w:hyperlink>
      <w:r w:rsidRPr="003F222F">
        <w:rPr>
          <w:lang w:val="ru-RU"/>
        </w:rPr>
        <w:t xml:space="preserve">, а отдельно О. Ю. Берг – с метриками, позволяющими измерять качество на протяжении всего цикла разработки </w:t>
      </w:r>
      <w:hyperlink w:anchor="src_21" w:history="1">
        <w:r w:rsidR="006E6AEF" w:rsidRPr="003F222F">
          <w:rPr>
            <w:lang w:val="ru-RU"/>
          </w:rPr>
          <w:t>[21]</w:t>
        </w:r>
      </w:hyperlink>
      <w:r w:rsidRPr="003F222F">
        <w:rPr>
          <w:lang w:val="ru-RU"/>
        </w:rPr>
        <w:t>.</w:t>
      </w:r>
    </w:p>
    <w:p w14:paraId="53EDF428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Значительная часть исследований посвящена моделям качества. А. О. Данилин и Г. В. Петрухнова формализуют определение уровня качества программного обеспечения на базе положений международных стандартов </w:t>
      </w:r>
      <w:hyperlink w:anchor="src_31" w:history="1">
        <w:r w:rsidR="006E6AEF" w:rsidRPr="003F222F">
          <w:rPr>
            <w:lang w:val="ru-RU"/>
          </w:rPr>
          <w:t>[31]</w:t>
        </w:r>
      </w:hyperlink>
      <w:r w:rsidRPr="003F222F">
        <w:rPr>
          <w:lang w:val="ru-RU"/>
        </w:rPr>
        <w:t xml:space="preserve">, А. А. Парамзина и Е. Н. Тищенко прослеживают эволюцию моделей от модели Маккола и иерархической модели Боэма до </w:t>
      </w:r>
      <w:r>
        <w:t>FURPS</w:t>
      </w:r>
      <w:r w:rsidRPr="003F222F">
        <w:rPr>
          <w:lang w:val="ru-RU"/>
        </w:rPr>
        <w:t xml:space="preserve"> </w:t>
      </w:r>
      <w:hyperlink w:anchor="src_57" w:history="1">
        <w:r w:rsidR="006E6AEF" w:rsidRPr="003F222F">
          <w:rPr>
            <w:lang w:val="ru-RU"/>
          </w:rPr>
          <w:t>[57]</w:t>
        </w:r>
      </w:hyperlink>
      <w:r w:rsidRPr="003F222F">
        <w:rPr>
          <w:lang w:val="ru-RU"/>
        </w:rPr>
        <w:t xml:space="preserve">, а Т. Я. Чумакова и С. М. Цыганенко связывают построение модели качества программного обеспечения с рекомендациями стандартов </w:t>
      </w:r>
      <w:r>
        <w:t>ISO</w:t>
      </w:r>
      <w:r w:rsidRPr="003F222F">
        <w:rPr>
          <w:lang w:val="ru-RU"/>
        </w:rPr>
        <w:t xml:space="preserve"> 9126 </w:t>
      </w:r>
      <w:hyperlink w:anchor="src_70" w:history="1">
        <w:r w:rsidR="006E6AEF" w:rsidRPr="003F222F">
          <w:rPr>
            <w:lang w:val="ru-RU"/>
          </w:rPr>
          <w:t>[70]</w:t>
        </w:r>
      </w:hyperlink>
      <w:r w:rsidRPr="003F222F">
        <w:rPr>
          <w:lang w:val="ru-RU"/>
        </w:rPr>
        <w:t xml:space="preserve">. Методики оценки качества программных продуктов исследуют Т. Г. Бурдыко и К. И. Бушмелева </w:t>
      </w:r>
      <w:hyperlink w:anchor="src_23" w:history="1">
        <w:r w:rsidR="006E6AEF" w:rsidRPr="003F222F">
          <w:rPr>
            <w:lang w:val="ru-RU"/>
          </w:rPr>
          <w:t>[23]</w:t>
        </w:r>
      </w:hyperlink>
      <w:r w:rsidRPr="003F222F">
        <w:rPr>
          <w:lang w:val="ru-RU"/>
        </w:rPr>
        <w:t xml:space="preserve">, применение формулы Байеса для оценивания качества по стандарту </w:t>
      </w:r>
      <w:r>
        <w:t>ISO</w:t>
      </w:r>
      <w:r w:rsidRPr="003F222F">
        <w:rPr>
          <w:lang w:val="ru-RU"/>
        </w:rPr>
        <w:t>/</w:t>
      </w:r>
      <w:r>
        <w:t>IEC</w:t>
      </w:r>
      <w:r w:rsidRPr="003F222F">
        <w:rPr>
          <w:lang w:val="ru-RU"/>
        </w:rPr>
        <w:t xml:space="preserve"> 9126 предлагает В. А. Коваленко </w:t>
      </w:r>
      <w:hyperlink w:anchor="src_43" w:history="1">
        <w:r w:rsidR="006E6AEF" w:rsidRPr="003F222F">
          <w:rPr>
            <w:lang w:val="ru-RU"/>
          </w:rPr>
          <w:t>[43]</w:t>
        </w:r>
      </w:hyperlink>
      <w:r w:rsidRPr="003F222F">
        <w:rPr>
          <w:lang w:val="ru-RU"/>
        </w:rPr>
        <w:t xml:space="preserve">, а Д. А. Дрожкин развивает когнитивные карты как инструмент оценки качества на основе требований стандартов </w:t>
      </w:r>
      <w:hyperlink w:anchor="src_35" w:history="1">
        <w:r w:rsidR="006E6AEF" w:rsidRPr="003F222F">
          <w:rPr>
            <w:lang w:val="ru-RU"/>
          </w:rPr>
          <w:t>[35]</w:t>
        </w:r>
      </w:hyperlink>
      <w:r w:rsidRPr="003F222F">
        <w:rPr>
          <w:lang w:val="ru-RU"/>
        </w:rPr>
        <w:t xml:space="preserve">. В. Н. Юрьев рассматривает качество программного продукта в связке с конкурентоспособностью: конкурентоспособность означает соответствие товара быстро изменяющимся условиям рынка и возрастающим требованиям потребителей не только по качественным характеристикам, но и по условиям реализации (цена, сервис, сроки поставки, затраты потребителя за период эксплуатации) </w:t>
      </w:r>
      <w:hyperlink w:anchor="src_76" w:history="1">
        <w:r w:rsidR="006E6AEF" w:rsidRPr="003F222F">
          <w:rPr>
            <w:lang w:val="ru-RU"/>
          </w:rPr>
          <w:t>[76]</w:t>
        </w:r>
      </w:hyperlink>
      <w:r w:rsidRPr="003F222F">
        <w:rPr>
          <w:lang w:val="ru-RU"/>
        </w:rPr>
        <w:t xml:space="preserve">. Системный взгляд на управление качеством программных продуктов представлен также в работах Г. С. Степович-Цветковой </w:t>
      </w:r>
      <w:hyperlink w:anchor="src_63" w:history="1">
        <w:r w:rsidR="006E6AEF" w:rsidRPr="003F222F">
          <w:rPr>
            <w:lang w:val="ru-RU"/>
          </w:rPr>
          <w:t>[63]</w:t>
        </w:r>
      </w:hyperlink>
      <w:r w:rsidRPr="003F222F">
        <w:rPr>
          <w:lang w:val="ru-RU"/>
        </w:rPr>
        <w:t xml:space="preserve"> и Р. М. </w:t>
      </w:r>
      <w:r w:rsidRPr="003F222F">
        <w:rPr>
          <w:lang w:val="ru-RU"/>
        </w:rPr>
        <w:lastRenderedPageBreak/>
        <w:t xml:space="preserve">Хамитова с Т. В. Шориной </w:t>
      </w:r>
      <w:hyperlink w:anchor="src_67" w:history="1">
        <w:r w:rsidR="006E6AEF" w:rsidRPr="003F222F">
          <w:rPr>
            <w:lang w:val="ru-RU"/>
          </w:rPr>
          <w:t>[67]</w:t>
        </w:r>
      </w:hyperlink>
      <w:r w:rsidRPr="003F222F">
        <w:rPr>
          <w:lang w:val="ru-RU"/>
        </w:rPr>
        <w:t xml:space="preserve">, а О. В. Тиханычев уточняет парадигму контроля качества программных продуктов, показывая недостаточность чисто контрольного подхода </w:t>
      </w:r>
      <w:hyperlink w:anchor="src_65" w:history="1">
        <w:r w:rsidR="006E6AEF" w:rsidRPr="003F222F">
          <w:rPr>
            <w:lang w:val="ru-RU"/>
          </w:rPr>
          <w:t>[65]</w:t>
        </w:r>
      </w:hyperlink>
      <w:r w:rsidRPr="003F222F">
        <w:rPr>
          <w:lang w:val="ru-RU"/>
        </w:rPr>
        <w:t>.</w:t>
      </w:r>
    </w:p>
    <w:p w14:paraId="6ABC722E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Сопоставление определений показывает, что сходством является понимание качества как совокупности измеримых характеристик, соотносимых с требованиями и ожиданиями пользователей. Расхождения проявляются в трёх отношениях: часть авторов трактует качество через способность выполнять функции (функциональный акцент </w:t>
      </w:r>
      <w:hyperlink w:anchor="src_57" w:history="1">
        <w:r w:rsidR="006E6AEF" w:rsidRPr="003F222F">
          <w:rPr>
            <w:lang w:val="ru-RU"/>
          </w:rPr>
          <w:t>[57]</w:t>
        </w:r>
      </w:hyperlink>
      <w:r w:rsidRPr="003F222F">
        <w:rPr>
          <w:lang w:val="ru-RU"/>
        </w:rPr>
        <w:t>), часть – через степень соответствия характеристик требованиям (нормативный акцент [2, 64]), часть – через удовлетворённость потребителя и рыночную пригодность продукта (потребительский акцент [76, 95]). Кроме того, различаются подходы к измеримости качества: от количественных метрик отдельных характеристик [21, 84, 96] до комплексных оценок и экспертных методик [23, 43].</w:t>
      </w:r>
    </w:p>
    <w:p w14:paraId="5A752BC5" w14:textId="77777777" w:rsidR="006E6AEF" w:rsidRPr="003F222F" w:rsidRDefault="006E6AEF">
      <w:pPr>
        <w:pStyle w:val="TNR0"/>
        <w:rPr>
          <w:lang w:val="ru-RU"/>
        </w:rPr>
      </w:pPr>
    </w:p>
    <w:p w14:paraId="5C1D1555" w14:textId="77777777" w:rsidR="006E6AEF" w:rsidRDefault="00000000">
      <w:pPr>
        <w:pStyle w:val="20"/>
        <w:keepNext/>
      </w:pPr>
      <w:bookmarkStart w:id="28" w:name="sub_2_3"/>
      <w:bookmarkStart w:id="29" w:name="_Toc241781042"/>
      <w:r>
        <w:t>Понятие «жизненный цикл программного обеспечения»</w:t>
      </w:r>
      <w:bookmarkEnd w:id="28"/>
      <w:bookmarkEnd w:id="29"/>
    </w:p>
    <w:p w14:paraId="62C845E1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Нормативную основу понятия составляют стандарты процессов жизненного цикла. ГОСТ Р ИСО/МЭК 12207-2010 </w:t>
      </w:r>
      <w:hyperlink w:anchor="src_4" w:history="1">
        <w:r w:rsidR="006E6AEF" w:rsidRPr="003F222F">
          <w:rPr>
            <w:lang w:val="ru-RU"/>
          </w:rPr>
          <w:t>[4]</w:t>
        </w:r>
      </w:hyperlink>
      <w:r w:rsidRPr="003F222F">
        <w:rPr>
          <w:lang w:val="ru-RU"/>
        </w:rPr>
        <w:t xml:space="preserve"> и его международная редакция </w:t>
      </w:r>
      <w:r>
        <w:t>ISO</w:t>
      </w:r>
      <w:r w:rsidRPr="003F222F">
        <w:rPr>
          <w:lang w:val="ru-RU"/>
        </w:rPr>
        <w:t>/</w:t>
      </w:r>
      <w:r>
        <w:t>IEC</w:t>
      </w:r>
      <w:r w:rsidRPr="003F222F">
        <w:rPr>
          <w:lang w:val="ru-RU"/>
        </w:rPr>
        <w:t>/</w:t>
      </w:r>
      <w:r>
        <w:t>IEEE</w:t>
      </w:r>
      <w:r w:rsidRPr="003F222F">
        <w:rPr>
          <w:lang w:val="ru-RU"/>
        </w:rPr>
        <w:t xml:space="preserve"> 12207:2017 </w:t>
      </w:r>
      <w:hyperlink w:anchor="src_94" w:history="1">
        <w:r w:rsidR="006E6AEF" w:rsidRPr="003F222F">
          <w:rPr>
            <w:lang w:val="ru-RU"/>
          </w:rPr>
          <w:t>[94]</w:t>
        </w:r>
      </w:hyperlink>
      <w:r w:rsidRPr="003F222F">
        <w:rPr>
          <w:lang w:val="ru-RU"/>
        </w:rPr>
        <w:t xml:space="preserve"> определяют жизненный цикл программного средства через совокупность процессов (от установления требований к системе до прекращения её использования), охватывающих разработку, эксплуатацию и сопровождение. Стадийный подход закреплён в ГОСТ 34.601-90 </w:t>
      </w:r>
      <w:hyperlink w:anchor="src_1" w:history="1">
        <w:r w:rsidR="006E6AEF" w:rsidRPr="003F222F">
          <w:rPr>
            <w:lang w:val="ru-RU"/>
          </w:rPr>
          <w:t>[1]</w:t>
        </w:r>
      </w:hyperlink>
      <w:r w:rsidRPr="003F222F">
        <w:rPr>
          <w:lang w:val="ru-RU"/>
        </w:rPr>
        <w:t xml:space="preserve">, задающем стадии создания автоматизированных систем от формирования требований до ввода в действие. Методология ЕСПД и российская традиция обеспечения качества программных средств подробно рассмотрены в монографии В. В. Липаева </w:t>
      </w:r>
      <w:hyperlink w:anchor="src_14" w:history="1">
        <w:r w:rsidR="006E6AEF" w:rsidRPr="003F222F">
          <w:rPr>
            <w:lang w:val="ru-RU"/>
          </w:rPr>
          <w:t>[14]</w:t>
        </w:r>
      </w:hyperlink>
      <w:r w:rsidRPr="003F222F">
        <w:rPr>
          <w:lang w:val="ru-RU"/>
        </w:rPr>
        <w:t>.</w:t>
      </w:r>
    </w:p>
    <w:p w14:paraId="382DA713" w14:textId="627FB234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В научной литературе приводятся более развёрнутые трактовки. Т. Я. Чумакова и С. М. Цыганенко отмечают: «термином жизненный цикл принято называть совокупность процессов и этапов развития организмов живой природы, технических систем, продуктов производства от моментов зарождения или появления потребности их создания и использования до прекращения функционирования или применения» </w:t>
      </w:r>
      <w:hyperlink w:anchor="src_69" w:history="1">
        <w:r w:rsidR="006E6AEF" w:rsidRPr="003F222F">
          <w:rPr>
            <w:lang w:val="ru-RU"/>
          </w:rPr>
          <w:t>[69]</w:t>
        </w:r>
      </w:hyperlink>
      <w:r w:rsidR="005D56FB">
        <w:rPr>
          <w:lang w:val="ru-RU"/>
        </w:rPr>
        <w:t>.</w:t>
      </w:r>
      <w:r w:rsidRPr="003F222F">
        <w:rPr>
          <w:lang w:val="ru-RU"/>
        </w:rPr>
        <w:t xml:space="preserve"> </w:t>
      </w:r>
      <w:r w:rsidR="005D56FB">
        <w:rPr>
          <w:lang w:val="ru-RU"/>
        </w:rPr>
        <w:t>П</w:t>
      </w:r>
      <w:r w:rsidRPr="003F222F">
        <w:rPr>
          <w:lang w:val="ru-RU"/>
        </w:rPr>
        <w:t xml:space="preserve">рименительно к программному обеспечению авторы связывают модель ЖЦ с международными стандартами и контролем качества на разных этапах разработки </w:t>
      </w:r>
      <w:hyperlink w:anchor="src_70" w:history="1">
        <w:r w:rsidR="006E6AEF" w:rsidRPr="003F222F">
          <w:rPr>
            <w:lang w:val="ru-RU"/>
          </w:rPr>
          <w:t>[70]</w:t>
        </w:r>
      </w:hyperlink>
      <w:r w:rsidRPr="003F222F">
        <w:rPr>
          <w:lang w:val="ru-RU"/>
        </w:rPr>
        <w:t xml:space="preserve">. В. Т. Матчин и И. Е. Рогов подчёркивают, что жизненный цикл определяет период и качество функционирования систем и продуктов, а жизненный цикл программного обеспечения, в свою очередь, определяет жизненный цикл информационной системы, в состав которой оно входит </w:t>
      </w:r>
      <w:hyperlink w:anchor="src_51" w:history="1">
        <w:r w:rsidR="006E6AEF" w:rsidRPr="003F222F">
          <w:rPr>
            <w:lang w:val="ru-RU"/>
          </w:rPr>
          <w:t>[51]</w:t>
        </w:r>
      </w:hyperlink>
      <w:r w:rsidRPr="003F222F">
        <w:rPr>
          <w:lang w:val="ru-RU"/>
        </w:rPr>
        <w:t xml:space="preserve">. А. С. Добрынин и соавторы </w:t>
      </w:r>
      <w:r w:rsidRPr="003F222F">
        <w:rPr>
          <w:lang w:val="ru-RU"/>
        </w:rPr>
        <w:lastRenderedPageBreak/>
        <w:t xml:space="preserve">акцентируют внимание на том, что известные нормативные модели полного жизненного цикла, применяемые крупными компаниями, охватывают все стадии и этапы жизни проекта, что оправданно для крупных организаций, но избыточно для малых команд </w:t>
      </w:r>
      <w:hyperlink w:anchor="src_33" w:history="1">
        <w:r w:rsidR="006E6AEF" w:rsidRPr="003F222F">
          <w:rPr>
            <w:lang w:val="ru-RU"/>
          </w:rPr>
          <w:t>[33]</w:t>
        </w:r>
      </w:hyperlink>
      <w:r w:rsidRPr="003F222F">
        <w:rPr>
          <w:lang w:val="ru-RU"/>
        </w:rPr>
        <w:t>.</w:t>
      </w:r>
    </w:p>
    <w:p w14:paraId="4A6F51AD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Самостоятельное направление исследований – сравнительный анализ моделей жизненного цикла. М. С. Голосовский на основе имитационного моделирования сравнивает модели ЖЦ с различными способами организации потоков работ </w:t>
      </w:r>
      <w:hyperlink w:anchor="src_30" w:history="1">
        <w:r w:rsidR="006E6AEF" w:rsidRPr="003F222F">
          <w:rPr>
            <w:lang w:val="ru-RU"/>
          </w:rPr>
          <w:t>[30]</w:t>
        </w:r>
      </w:hyperlink>
      <w:r w:rsidRPr="003F222F">
        <w:rPr>
          <w:lang w:val="ru-RU"/>
        </w:rPr>
        <w:t xml:space="preserve">, а также рассматривает модель ЖЦ разработки ПО в рамках научно-исследовательских работ </w:t>
      </w:r>
      <w:hyperlink w:anchor="src_29" w:history="1">
        <w:r w:rsidR="006E6AEF" w:rsidRPr="003F222F">
          <w:rPr>
            <w:lang w:val="ru-RU"/>
          </w:rPr>
          <w:t>[29]</w:t>
        </w:r>
      </w:hyperlink>
      <w:r w:rsidRPr="003F222F">
        <w:rPr>
          <w:lang w:val="ru-RU"/>
        </w:rPr>
        <w:t xml:space="preserve">. Т. Э. Шульга и Д. Э. Храмов обосновывают необходимость формальной онтологии моделей ЖЦ, вызванной стремительным развитием методологий разработки и отсутствием расширяемой модели знаний в этой предметной области </w:t>
      </w:r>
      <w:hyperlink w:anchor="src_75" w:history="1">
        <w:r w:rsidR="006E6AEF" w:rsidRPr="003F222F">
          <w:rPr>
            <w:lang w:val="ru-RU"/>
          </w:rPr>
          <w:t>[75]</w:t>
        </w:r>
      </w:hyperlink>
      <w:r w:rsidRPr="003F222F">
        <w:rPr>
          <w:lang w:val="ru-RU"/>
        </w:rPr>
        <w:t xml:space="preserve">, и предлагают алгоритмы оценки продолжительности жизненного цикла </w:t>
      </w:r>
      <w:hyperlink w:anchor="src_74" w:history="1">
        <w:r w:rsidR="006E6AEF" w:rsidRPr="003F222F">
          <w:rPr>
            <w:lang w:val="ru-RU"/>
          </w:rPr>
          <w:t>[74]</w:t>
        </w:r>
      </w:hyperlink>
      <w:r w:rsidRPr="003F222F">
        <w:rPr>
          <w:lang w:val="ru-RU"/>
        </w:rPr>
        <w:t xml:space="preserve">. Историческая перспектива представлена в классической работе У. Ройса, впервые описавшей каскадную схему организации работ </w:t>
      </w:r>
      <w:hyperlink w:anchor="src_102" w:history="1">
        <w:r w:rsidR="006E6AEF" w:rsidRPr="003F222F">
          <w:rPr>
            <w:lang w:val="ru-RU"/>
          </w:rPr>
          <w:t>[102]</w:t>
        </w:r>
      </w:hyperlink>
      <w:r w:rsidRPr="003F222F">
        <w:rPr>
          <w:lang w:val="ru-RU"/>
        </w:rPr>
        <w:t xml:space="preserve">, и в обзоре К. Лармана и В. Базили, показавших, что итеративные и инкрементные подходы применялись задолго до появления гибких методологий </w:t>
      </w:r>
      <w:hyperlink w:anchor="src_98" w:history="1">
        <w:r w:rsidR="006E6AEF" w:rsidRPr="003F222F">
          <w:rPr>
            <w:lang w:val="ru-RU"/>
          </w:rPr>
          <w:t>[98]</w:t>
        </w:r>
      </w:hyperlink>
      <w:r w:rsidRPr="003F222F">
        <w:rPr>
          <w:lang w:val="ru-RU"/>
        </w:rPr>
        <w:t xml:space="preserve">. Современное систематизированное изложение процессов разработки содержится в справочнике </w:t>
      </w:r>
      <w:r>
        <w:t>SWEBOK</w:t>
      </w:r>
      <w:r w:rsidRPr="003F222F">
        <w:rPr>
          <w:lang w:val="ru-RU"/>
        </w:rPr>
        <w:t xml:space="preserve"> </w:t>
      </w:r>
      <w:hyperlink w:anchor="src_87" w:history="1">
        <w:r w:rsidR="006E6AEF" w:rsidRPr="003F222F">
          <w:rPr>
            <w:lang w:val="ru-RU"/>
          </w:rPr>
          <w:t>[87]</w:t>
        </w:r>
      </w:hyperlink>
      <w:r w:rsidRPr="003F222F">
        <w:rPr>
          <w:lang w:val="ru-RU"/>
        </w:rPr>
        <w:t xml:space="preserve"> и учебниках Р. С. Прессмана и Б. Р. Максима </w:t>
      </w:r>
      <w:hyperlink w:anchor="src_101" w:history="1">
        <w:r w:rsidR="006E6AEF" w:rsidRPr="003F222F">
          <w:rPr>
            <w:lang w:val="ru-RU"/>
          </w:rPr>
          <w:t>[101]</w:t>
        </w:r>
      </w:hyperlink>
      <w:r w:rsidRPr="003F222F">
        <w:rPr>
          <w:lang w:val="ru-RU"/>
        </w:rPr>
        <w:t xml:space="preserve">, И. Соммервилла </w:t>
      </w:r>
      <w:hyperlink w:anchor="src_104" w:history="1">
        <w:r w:rsidR="006E6AEF" w:rsidRPr="003F222F">
          <w:rPr>
            <w:lang w:val="ru-RU"/>
          </w:rPr>
          <w:t>[104]</w:t>
        </w:r>
      </w:hyperlink>
      <w:r w:rsidRPr="003F222F">
        <w:rPr>
          <w:lang w:val="ru-RU"/>
        </w:rPr>
        <w:t xml:space="preserve">, С. А. Орлова и Б. Я. Цилькера </w:t>
      </w:r>
      <w:hyperlink w:anchor="src_16" w:history="1">
        <w:r w:rsidR="006E6AEF" w:rsidRPr="003F222F">
          <w:rPr>
            <w:lang w:val="ru-RU"/>
          </w:rPr>
          <w:t>[16]</w:t>
        </w:r>
      </w:hyperlink>
      <w:r w:rsidRPr="003F222F">
        <w:rPr>
          <w:lang w:val="ru-RU"/>
        </w:rPr>
        <w:t xml:space="preserve">. Вопросам выбора методологий разработки посвящены работы Я. А. Лагутина и О. Н. Егоровой </w:t>
      </w:r>
      <w:hyperlink w:anchor="src_48" w:history="1">
        <w:r w:rsidR="006E6AEF" w:rsidRPr="003F222F">
          <w:rPr>
            <w:lang w:val="ru-RU"/>
          </w:rPr>
          <w:t>[48]</w:t>
        </w:r>
      </w:hyperlink>
      <w:r w:rsidRPr="003F222F">
        <w:rPr>
          <w:lang w:val="ru-RU"/>
        </w:rPr>
        <w:t xml:space="preserve">, Б. Боэма и Р. Тёрнера </w:t>
      </w:r>
      <w:hyperlink w:anchor="src_81" w:history="1">
        <w:r w:rsidR="006E6AEF" w:rsidRPr="003F222F">
          <w:rPr>
            <w:lang w:val="ru-RU"/>
          </w:rPr>
          <w:t>[81]</w:t>
        </w:r>
      </w:hyperlink>
      <w:r w:rsidRPr="003F222F">
        <w:rPr>
          <w:lang w:val="ru-RU"/>
        </w:rPr>
        <w:t xml:space="preserve">, а гибкий подход систематизирован К. Швабером и Д. Сазерлендом </w:t>
      </w:r>
      <w:hyperlink w:anchor="src_103" w:history="1">
        <w:r w:rsidR="006E6AEF" w:rsidRPr="003F222F">
          <w:rPr>
            <w:lang w:val="ru-RU"/>
          </w:rPr>
          <w:t>[103]</w:t>
        </w:r>
      </w:hyperlink>
      <w:r w:rsidRPr="003F222F">
        <w:rPr>
          <w:lang w:val="ru-RU"/>
        </w:rPr>
        <w:t>.</w:t>
      </w:r>
    </w:p>
    <w:p w14:paraId="52AD0FDA" w14:textId="77777777" w:rsidR="00631AF7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Сходством всех определений является общая протяжённость во времени: жизненный цикл охватывает промежуток от возникновения потребности в программном продукте до его вывода из эксплуатации. Расхождения касаются способа структурирования этого промежутка: стадийный подход (ГОСТ 34.601-90 </w:t>
      </w:r>
      <w:hyperlink w:anchor="src_1" w:history="1">
        <w:r w:rsidR="006E6AEF" w:rsidRPr="003F222F">
          <w:rPr>
            <w:lang w:val="ru-RU"/>
          </w:rPr>
          <w:t>[1]</w:t>
        </w:r>
      </w:hyperlink>
      <w:r w:rsidRPr="003F222F">
        <w:rPr>
          <w:lang w:val="ru-RU"/>
        </w:rPr>
        <w:t xml:space="preserve">, каскадная модель </w:t>
      </w:r>
      <w:hyperlink w:anchor="src_102" w:history="1">
        <w:r w:rsidR="006E6AEF" w:rsidRPr="003F222F">
          <w:rPr>
            <w:lang w:val="ru-RU"/>
          </w:rPr>
          <w:t>[102]</w:t>
        </w:r>
      </w:hyperlink>
      <w:r w:rsidRPr="003F222F">
        <w:rPr>
          <w:lang w:val="ru-RU"/>
        </w:rPr>
        <w:t>) предполагает последовательное прохождение фиксированных стадий; процессный подход (</w:t>
      </w:r>
      <w:r>
        <w:t>ISO</w:t>
      </w:r>
      <w:r w:rsidRPr="003F222F">
        <w:rPr>
          <w:lang w:val="ru-RU"/>
        </w:rPr>
        <w:t>/</w:t>
      </w:r>
      <w:r>
        <w:t>IEC</w:t>
      </w:r>
      <w:r w:rsidRPr="003F222F">
        <w:rPr>
          <w:lang w:val="ru-RU"/>
        </w:rPr>
        <w:t>/</w:t>
      </w:r>
      <w:r>
        <w:t>IEEE</w:t>
      </w:r>
      <w:r w:rsidRPr="003F222F">
        <w:rPr>
          <w:lang w:val="ru-RU"/>
        </w:rPr>
        <w:t xml:space="preserve"> 12207 [4, 94]) рассматривает ЖЦ как набор взаимодействующих процессов, применимых в любой модели; итеративный и гибкий подходы [98, 103] заменяют последовательность циклами поставки приращений продукта. </w:t>
      </w:r>
    </w:p>
    <w:p w14:paraId="2B9D4885" w14:textId="03BE8C20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Для </w:t>
      </w:r>
      <w:r w:rsidR="004C5AAA">
        <w:rPr>
          <w:lang w:val="ru-RU"/>
        </w:rPr>
        <w:t>текущего</w:t>
      </w:r>
      <w:r w:rsidRPr="003F222F">
        <w:rPr>
          <w:lang w:val="ru-RU"/>
        </w:rPr>
        <w:t xml:space="preserve"> исследования </w:t>
      </w:r>
      <w:r w:rsidR="006A42F9">
        <w:rPr>
          <w:lang w:val="ru-RU"/>
        </w:rPr>
        <w:t>важно</w:t>
      </w:r>
      <w:r w:rsidRPr="003F222F">
        <w:rPr>
          <w:lang w:val="ru-RU"/>
        </w:rPr>
        <w:t xml:space="preserve">, что именно модель жизненного цикла задаёт </w:t>
      </w:r>
      <w:r w:rsidR="0024074E">
        <w:rPr>
          <w:lang w:val="ru-RU"/>
        </w:rPr>
        <w:t>набор мест</w:t>
      </w:r>
      <w:r w:rsidRPr="003F222F">
        <w:rPr>
          <w:lang w:val="ru-RU"/>
        </w:rPr>
        <w:t>, в которых могут быть применены инструменты менеджмента качества</w:t>
      </w:r>
      <w:r w:rsidR="004C5AAA">
        <w:rPr>
          <w:lang w:val="ru-RU"/>
        </w:rPr>
        <w:t>.</w:t>
      </w:r>
      <w:r w:rsidRPr="003F222F">
        <w:rPr>
          <w:lang w:val="ru-RU"/>
        </w:rPr>
        <w:t xml:space="preserve"> </w:t>
      </w:r>
      <w:r w:rsidR="004C5AAA">
        <w:rPr>
          <w:lang w:val="ru-RU"/>
        </w:rPr>
        <w:t>А</w:t>
      </w:r>
      <w:r w:rsidRPr="003F222F">
        <w:rPr>
          <w:lang w:val="ru-RU"/>
        </w:rPr>
        <w:t>вторы сходятся в том, что качество продукта в решающей степени определяется решениями, принятыми на ранних этапах цикла [14, 30, 69, 87].</w:t>
      </w:r>
    </w:p>
    <w:p w14:paraId="4BF3D4A8" w14:textId="77777777" w:rsidR="006E6AEF" w:rsidRPr="003F222F" w:rsidRDefault="006E6AEF">
      <w:pPr>
        <w:pStyle w:val="TNR0"/>
        <w:rPr>
          <w:lang w:val="ru-RU"/>
        </w:rPr>
      </w:pPr>
    </w:p>
    <w:p w14:paraId="64320FAA" w14:textId="77777777" w:rsidR="006E6AEF" w:rsidRDefault="00000000">
      <w:pPr>
        <w:pStyle w:val="20"/>
        <w:keepNext/>
      </w:pPr>
      <w:bookmarkStart w:id="30" w:name="sub_2_4"/>
      <w:bookmarkStart w:id="31" w:name="_Toc241781043"/>
      <w:r>
        <w:lastRenderedPageBreak/>
        <w:t>Понятие «инструменты менеджмента качества»</w:t>
      </w:r>
      <w:bookmarkEnd w:id="30"/>
      <w:bookmarkEnd w:id="31"/>
    </w:p>
    <w:p w14:paraId="6F8FD667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В нормативной трактовке стандарты семейства </w:t>
      </w:r>
      <w:r>
        <w:t>ISO</w:t>
      </w:r>
      <w:r w:rsidRPr="003F222F">
        <w:rPr>
          <w:lang w:val="ru-RU"/>
        </w:rPr>
        <w:t xml:space="preserve"> 9000 не дают замкнутого перечня инструментов, но формируют их основу: восемь (в </w:t>
      </w:r>
      <w:r>
        <w:t>ISO</w:t>
      </w:r>
      <w:r w:rsidRPr="003F222F">
        <w:rPr>
          <w:lang w:val="ru-RU"/>
        </w:rPr>
        <w:t xml:space="preserve"> 9000:2015 – семь) принципов менеджмента качества и требования к процессам системы менеджмента качества [2, 3, 92]. В прикладной литературе под инструментами менеджмента качества обычно понимают методы и средства, используемые для анализа, контроля и улучшения процессов. Классический набор – «семь простых инструментов контроля качества» (контрольные карты, диаграмма Парето, причинно-следственная диаграмма и др.) – систематизирован представителем японской школы К. Исикавой </w:t>
      </w:r>
      <w:hyperlink w:anchor="src_91" w:history="1">
        <w:r w:rsidR="006E6AEF" w:rsidRPr="003F222F">
          <w:rPr>
            <w:lang w:val="ru-RU"/>
          </w:rPr>
          <w:t>[91]</w:t>
        </w:r>
      </w:hyperlink>
      <w:r w:rsidRPr="003F222F">
        <w:rPr>
          <w:lang w:val="ru-RU"/>
        </w:rPr>
        <w:t xml:space="preserve">. Методология статистического управления процессами и цикл </w:t>
      </w:r>
      <w:r>
        <w:t>PDCA</w:t>
      </w:r>
      <w:r w:rsidRPr="003F222F">
        <w:rPr>
          <w:lang w:val="ru-RU"/>
        </w:rPr>
        <w:t xml:space="preserve"> восходят к работам У. Э. Деминга [12, 83]. Концепция всеобщего менеджмента качества, включающая инструментальные средства бенчмаркинга, развертывания функции качества (</w:t>
      </w:r>
      <w:r>
        <w:t>QFD</w:t>
      </w:r>
      <w:r w:rsidRPr="003F222F">
        <w:rPr>
          <w:lang w:val="ru-RU"/>
        </w:rPr>
        <w:t xml:space="preserve">) и самооценки, опирается на труды Дж. М. Джурана </w:t>
      </w:r>
      <w:hyperlink w:anchor="src_95" w:history="1">
        <w:r w:rsidR="006E6AEF" w:rsidRPr="003F222F">
          <w:rPr>
            <w:lang w:val="ru-RU"/>
          </w:rPr>
          <w:t>[95]</w:t>
        </w:r>
      </w:hyperlink>
      <w:r w:rsidRPr="003F222F">
        <w:rPr>
          <w:lang w:val="ru-RU"/>
        </w:rPr>
        <w:t>.</w:t>
      </w:r>
    </w:p>
    <w:p w14:paraId="7C2131F6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В российской литературе проблематика инструментов менеджмента качества раскрыта в нескольких аспектах. Т. А. Левина, анализируя опыт зарубежных организаций, показывает, что реализация целей в области качества осуществляется при решении конкретных задач на определённых этапах создания продукции, «поэтому выбор инструментов менеджмента качества должен быть обоснованным», и предлагает типовой алгоритм выбора и использования инструментов </w:t>
      </w:r>
      <w:hyperlink w:anchor="src_49" w:history="1">
        <w:r w:rsidR="006E6AEF" w:rsidRPr="003F222F">
          <w:rPr>
            <w:lang w:val="ru-RU"/>
          </w:rPr>
          <w:t>[49]</w:t>
        </w:r>
      </w:hyperlink>
      <w:r w:rsidRPr="003F222F">
        <w:rPr>
          <w:lang w:val="ru-RU"/>
        </w:rPr>
        <w:t xml:space="preserve">. К. Л. Разумов-Раздолов рассматривает перспективы интеграции инструментов менеджмента качества и качества менеджмента, отмечая взаимное проникновение методик управления качеством и общего менеджмента организации </w:t>
      </w:r>
      <w:hyperlink w:anchor="src_59" w:history="1">
        <w:r w:rsidR="006E6AEF" w:rsidRPr="003F222F">
          <w:rPr>
            <w:lang w:val="ru-RU"/>
          </w:rPr>
          <w:t>[59]</w:t>
        </w:r>
      </w:hyperlink>
      <w:r w:rsidRPr="003F222F">
        <w:rPr>
          <w:lang w:val="ru-RU"/>
        </w:rPr>
        <w:t>. А. Е. Клочков описывает алгоритм результативного внедрения статистического управления процессами (</w:t>
      </w:r>
      <w:r>
        <w:t>SPC</w:t>
      </w:r>
      <w:r w:rsidRPr="003F222F">
        <w:rPr>
          <w:lang w:val="ru-RU"/>
        </w:rPr>
        <w:t xml:space="preserve">) в автоматизированные информационные системы менеджмента качества </w:t>
      </w:r>
      <w:hyperlink w:anchor="src_41" w:history="1">
        <w:r w:rsidR="006E6AEF" w:rsidRPr="003F222F">
          <w:rPr>
            <w:lang w:val="ru-RU"/>
          </w:rPr>
          <w:t>[41]</w:t>
        </w:r>
      </w:hyperlink>
      <w:r w:rsidRPr="003F222F">
        <w:rPr>
          <w:lang w:val="ru-RU"/>
        </w:rPr>
        <w:t xml:space="preserve">, а Е. К. Савич систематизирует цифровой инструментарий управления качеством, применяемый на этапах жизненного цикла продукции, – от информационных систем учёта несоответствий до аналитических платформ </w:t>
      </w:r>
      <w:hyperlink w:anchor="src_61" w:history="1">
        <w:r w:rsidR="006E6AEF" w:rsidRPr="003F222F">
          <w:rPr>
            <w:lang w:val="ru-RU"/>
          </w:rPr>
          <w:t>[61]</w:t>
        </w:r>
      </w:hyperlink>
      <w:r w:rsidRPr="003F222F">
        <w:rPr>
          <w:lang w:val="ru-RU"/>
        </w:rPr>
        <w:t xml:space="preserve">. Поддержку процессов управления качеством средствами </w:t>
      </w:r>
      <w:r>
        <w:t>ERP</w:t>
      </w:r>
      <w:r w:rsidRPr="003F222F">
        <w:rPr>
          <w:lang w:val="ru-RU"/>
        </w:rPr>
        <w:t xml:space="preserve">-систем исследуют Г. В. Кораблева и А. Н. Ушаков </w:t>
      </w:r>
      <w:hyperlink w:anchor="src_45" w:history="1">
        <w:r w:rsidR="006E6AEF" w:rsidRPr="003F222F">
          <w:rPr>
            <w:lang w:val="ru-RU"/>
          </w:rPr>
          <w:t>[45]</w:t>
        </w:r>
      </w:hyperlink>
      <w:r w:rsidRPr="003F222F">
        <w:rPr>
          <w:lang w:val="ru-RU"/>
        </w:rPr>
        <w:t xml:space="preserve">, экономические модели затрат на качество – Д. С. Демиденко и Е. А. Яковлева </w:t>
      </w:r>
      <w:hyperlink w:anchor="src_32" w:history="1">
        <w:r w:rsidR="006E6AEF" w:rsidRPr="003F222F">
          <w:rPr>
            <w:lang w:val="ru-RU"/>
          </w:rPr>
          <w:t>[32]</w:t>
        </w:r>
      </w:hyperlink>
      <w:r w:rsidRPr="003F222F">
        <w:rPr>
          <w:lang w:val="ru-RU"/>
        </w:rPr>
        <w:t>.</w:t>
      </w:r>
    </w:p>
    <w:p w14:paraId="2086B703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Применительно к разработке программного обеспечения состав инструментов существенно расширяется. Статический анализ кода как средство обеспечения качества программных средств систематизируют М. И. Глухих и В. М. Ицыксон </w:t>
      </w:r>
      <w:hyperlink w:anchor="src_11" w:history="1">
        <w:r w:rsidR="006E6AEF" w:rsidRPr="003F222F">
          <w:rPr>
            <w:lang w:val="ru-RU"/>
          </w:rPr>
          <w:t>[11]</w:t>
        </w:r>
      </w:hyperlink>
      <w:r w:rsidRPr="003F222F">
        <w:rPr>
          <w:lang w:val="ru-RU"/>
        </w:rPr>
        <w:t xml:space="preserve">, А. И. Аветисян </w:t>
      </w:r>
      <w:hyperlink w:anchor="src_8" w:history="1">
        <w:r w:rsidR="006E6AEF" w:rsidRPr="003F222F">
          <w:rPr>
            <w:lang w:val="ru-RU"/>
          </w:rPr>
          <w:t>[8]</w:t>
        </w:r>
      </w:hyperlink>
      <w:r w:rsidRPr="003F222F">
        <w:rPr>
          <w:lang w:val="ru-RU"/>
        </w:rPr>
        <w:t xml:space="preserve"> и Д. Галин </w:t>
      </w:r>
      <w:hyperlink w:anchor="src_86" w:history="1">
        <w:r w:rsidR="006E6AEF" w:rsidRPr="003F222F">
          <w:rPr>
            <w:lang w:val="ru-RU"/>
          </w:rPr>
          <w:t>[86]</w:t>
        </w:r>
      </w:hyperlink>
      <w:r w:rsidRPr="003F222F">
        <w:rPr>
          <w:lang w:val="ru-RU"/>
        </w:rPr>
        <w:t xml:space="preserve">. Программным метрикам посвящены работы О. Ю. Берга </w:t>
      </w:r>
      <w:hyperlink w:anchor="src_21" w:history="1">
        <w:r w:rsidR="006E6AEF" w:rsidRPr="003F222F">
          <w:rPr>
            <w:lang w:val="ru-RU"/>
          </w:rPr>
          <w:t>[21]</w:t>
        </w:r>
      </w:hyperlink>
      <w:r w:rsidRPr="003F222F">
        <w:rPr>
          <w:lang w:val="ru-RU"/>
        </w:rPr>
        <w:t xml:space="preserve">, О. С. Дорофеевой с соавторами </w:t>
      </w:r>
      <w:hyperlink w:anchor="src_34" w:history="1">
        <w:r w:rsidR="006E6AEF" w:rsidRPr="003F222F">
          <w:rPr>
            <w:lang w:val="ru-RU"/>
          </w:rPr>
          <w:t>[34]</w:t>
        </w:r>
      </w:hyperlink>
      <w:r w:rsidRPr="003F222F">
        <w:rPr>
          <w:lang w:val="ru-RU"/>
        </w:rPr>
        <w:t xml:space="preserve">, Н. Е. </w:t>
      </w:r>
      <w:r w:rsidRPr="003F222F">
        <w:rPr>
          <w:lang w:val="ru-RU"/>
        </w:rPr>
        <w:lastRenderedPageBreak/>
        <w:t xml:space="preserve">Фентона и Дж. </w:t>
      </w:r>
      <w:r w:rsidRPr="00426D46">
        <w:rPr>
          <w:lang w:val="ru-RU"/>
        </w:rPr>
        <w:t xml:space="preserve">Бимана </w:t>
      </w:r>
      <w:hyperlink w:anchor="src_84" w:history="1">
        <w:r w:rsidR="006E6AEF" w:rsidRPr="00426D46">
          <w:rPr>
            <w:lang w:val="ru-RU"/>
          </w:rPr>
          <w:t>[84]</w:t>
        </w:r>
      </w:hyperlink>
      <w:r w:rsidRPr="00426D46">
        <w:rPr>
          <w:lang w:val="ru-RU"/>
        </w:rPr>
        <w:t xml:space="preserve">, С. Х. Кана </w:t>
      </w:r>
      <w:hyperlink w:anchor="src_96" w:history="1">
        <w:r w:rsidR="006E6AEF" w:rsidRPr="00426D46">
          <w:rPr>
            <w:lang w:val="ru-RU"/>
          </w:rPr>
          <w:t>[96]</w:t>
        </w:r>
      </w:hyperlink>
      <w:r w:rsidRPr="00426D46">
        <w:rPr>
          <w:lang w:val="ru-RU"/>
        </w:rPr>
        <w:t xml:space="preserve">. </w:t>
      </w:r>
      <w:r w:rsidRPr="003F222F">
        <w:rPr>
          <w:lang w:val="ru-RU"/>
        </w:rPr>
        <w:t xml:space="preserve">Метод </w:t>
      </w:r>
      <w:r>
        <w:t>GQM</w:t>
      </w:r>
      <w:r w:rsidRPr="003F222F">
        <w:rPr>
          <w:lang w:val="ru-RU"/>
        </w:rPr>
        <w:t xml:space="preserve"> (</w:t>
      </w:r>
      <w:r>
        <w:t>Goal</w:t>
      </w:r>
      <w:r w:rsidRPr="003F222F">
        <w:rPr>
          <w:lang w:val="ru-RU"/>
        </w:rPr>
        <w:t>–</w:t>
      </w:r>
      <w:r>
        <w:t>Question</w:t>
      </w:r>
      <w:r w:rsidRPr="003F222F">
        <w:rPr>
          <w:lang w:val="ru-RU"/>
        </w:rPr>
        <w:t>–</w:t>
      </w:r>
      <w:r>
        <w:t>Metric</w:t>
      </w:r>
      <w:r w:rsidRPr="003F222F">
        <w:rPr>
          <w:lang w:val="ru-RU"/>
        </w:rPr>
        <w:t xml:space="preserve">) связывания целей качества с измерениями предложен В. Базили с соавторами </w:t>
      </w:r>
      <w:hyperlink w:anchor="src_78" w:history="1">
        <w:r w:rsidR="006E6AEF" w:rsidRPr="003F222F">
          <w:rPr>
            <w:lang w:val="ru-RU"/>
          </w:rPr>
          <w:t>[78]</w:t>
        </w:r>
      </w:hyperlink>
      <w:r w:rsidRPr="003F222F">
        <w:rPr>
          <w:lang w:val="ru-RU"/>
        </w:rPr>
        <w:t xml:space="preserve">, вопросам верификации программ посвящена работа С. В. Синицына и Н. Ю. Налютина </w:t>
      </w:r>
      <w:hyperlink w:anchor="src_18" w:history="1">
        <w:r w:rsidR="006E6AEF" w:rsidRPr="003F222F">
          <w:rPr>
            <w:lang w:val="ru-RU"/>
          </w:rPr>
          <w:t>[18]</w:t>
        </w:r>
      </w:hyperlink>
      <w:r w:rsidRPr="003F222F">
        <w:rPr>
          <w:lang w:val="ru-RU"/>
        </w:rPr>
        <w:t xml:space="preserve">, процессам зрелости </w:t>
      </w:r>
      <w:r>
        <w:t>CMM</w:t>
      </w:r>
      <w:r w:rsidRPr="003F222F">
        <w:rPr>
          <w:lang w:val="ru-RU"/>
        </w:rPr>
        <w:t>/</w:t>
      </w:r>
      <w:r>
        <w:t>CMMI</w:t>
      </w:r>
      <w:r w:rsidRPr="003F222F">
        <w:rPr>
          <w:lang w:val="ru-RU"/>
        </w:rPr>
        <w:t xml:space="preserve"> – исследования В. А. Шеховцова с соавторами </w:t>
      </w:r>
      <w:hyperlink w:anchor="src_72" w:history="1">
        <w:r w:rsidR="006E6AEF" w:rsidRPr="003F222F">
          <w:rPr>
            <w:lang w:val="ru-RU"/>
          </w:rPr>
          <w:t>[72]</w:t>
        </w:r>
      </w:hyperlink>
      <w:r w:rsidRPr="003F222F">
        <w:rPr>
          <w:lang w:val="ru-RU"/>
        </w:rPr>
        <w:t xml:space="preserve"> и М. Полка с коллегами </w:t>
      </w:r>
      <w:hyperlink w:anchor="src_100" w:history="1">
        <w:r w:rsidR="006E6AEF" w:rsidRPr="003F222F">
          <w:rPr>
            <w:lang w:val="ru-RU"/>
          </w:rPr>
          <w:t>[100]</w:t>
        </w:r>
      </w:hyperlink>
      <w:r w:rsidRPr="003F222F">
        <w:rPr>
          <w:lang w:val="ru-RU"/>
        </w:rPr>
        <w:t xml:space="preserve">. Автоматизированному тестированию уделено внимание в работах Р. Р. Гаджиева </w:t>
      </w:r>
      <w:hyperlink w:anchor="src_25" w:history="1">
        <w:r w:rsidR="006E6AEF" w:rsidRPr="003F222F">
          <w:rPr>
            <w:lang w:val="ru-RU"/>
          </w:rPr>
          <w:t>[25]</w:t>
        </w:r>
      </w:hyperlink>
      <w:r w:rsidRPr="003F222F">
        <w:rPr>
          <w:lang w:val="ru-RU"/>
        </w:rPr>
        <w:t xml:space="preserve">, М. А. Гмырина </w:t>
      </w:r>
      <w:hyperlink w:anchor="src_27" w:history="1">
        <w:r w:rsidR="006E6AEF" w:rsidRPr="003F222F">
          <w:rPr>
            <w:lang w:val="ru-RU"/>
          </w:rPr>
          <w:t>[27]</w:t>
        </w:r>
      </w:hyperlink>
      <w:r w:rsidRPr="003F222F">
        <w:rPr>
          <w:lang w:val="ru-RU"/>
        </w:rPr>
        <w:t xml:space="preserve">, Ю. Д. Козловой </w:t>
      </w:r>
      <w:hyperlink w:anchor="src_44" w:history="1">
        <w:r w:rsidR="006E6AEF" w:rsidRPr="003F222F">
          <w:rPr>
            <w:lang w:val="ru-RU"/>
          </w:rPr>
          <w:t>[44]</w:t>
        </w:r>
      </w:hyperlink>
      <w:r w:rsidRPr="003F222F">
        <w:rPr>
          <w:lang w:val="ru-RU"/>
        </w:rPr>
        <w:t xml:space="preserve"> и Т. Р. Масалимова с С. Ф. Сайфуллиной </w:t>
      </w:r>
      <w:hyperlink w:anchor="src_50" w:history="1">
        <w:r w:rsidR="006E6AEF" w:rsidRPr="003F222F">
          <w:rPr>
            <w:lang w:val="ru-RU"/>
          </w:rPr>
          <w:t>[50]</w:t>
        </w:r>
      </w:hyperlink>
      <w:r w:rsidRPr="003F222F">
        <w:rPr>
          <w:lang w:val="ru-RU"/>
        </w:rPr>
        <w:t xml:space="preserve">. Отдельного внимания заслуживают инструментальные средства поддержки самого жизненного цикла – </w:t>
      </w:r>
      <w:r>
        <w:t>CASE</w:t>
      </w:r>
      <w:r w:rsidRPr="003F222F">
        <w:rPr>
          <w:lang w:val="ru-RU"/>
        </w:rPr>
        <w:t xml:space="preserve">-средства, системы управления требованиями, версионированием и тестированием, рассматриваемые Е. В. Куликовой </w:t>
      </w:r>
      <w:hyperlink w:anchor="src_47" w:history="1">
        <w:r w:rsidR="006E6AEF" w:rsidRPr="003F222F">
          <w:rPr>
            <w:lang w:val="ru-RU"/>
          </w:rPr>
          <w:t>[47]</w:t>
        </w:r>
      </w:hyperlink>
      <w:r w:rsidRPr="003F222F">
        <w:rPr>
          <w:lang w:val="ru-RU"/>
        </w:rPr>
        <w:t xml:space="preserve">. Функционально-стоимостной анализ при проектировании программных продуктов применительно к цифровой экономике исследует В. С. Князькова </w:t>
      </w:r>
      <w:hyperlink w:anchor="src_42" w:history="1">
        <w:r w:rsidR="006E6AEF" w:rsidRPr="003F222F">
          <w:rPr>
            <w:lang w:val="ru-RU"/>
          </w:rPr>
          <w:t>[42]</w:t>
        </w:r>
      </w:hyperlink>
      <w:r w:rsidRPr="003F222F">
        <w:rPr>
          <w:lang w:val="ru-RU"/>
        </w:rPr>
        <w:t>.</w:t>
      </w:r>
    </w:p>
    <w:p w14:paraId="6B279F51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Сопоставление трактовок обнаруживает сходство: инструмент менеджмента качества – это метод или средство, которое делает качество измеримым и управляемым на конкретном процессе. Расхождения состоят в границах понятия: узкая трактовка ограничивается статистическими методами контроля </w:t>
      </w:r>
      <w:hyperlink w:anchor="src_91" w:history="1">
        <w:r w:rsidR="006E6AEF" w:rsidRPr="003F222F">
          <w:rPr>
            <w:lang w:val="ru-RU"/>
          </w:rPr>
          <w:t>[91]</w:t>
        </w:r>
      </w:hyperlink>
      <w:r w:rsidRPr="003F222F">
        <w:rPr>
          <w:lang w:val="ru-RU"/>
        </w:rPr>
        <w:t>, расширенная включает организационные методики (</w:t>
      </w:r>
      <w:r>
        <w:t>TQM</w:t>
      </w:r>
      <w:r w:rsidRPr="003F222F">
        <w:rPr>
          <w:lang w:val="ru-RU"/>
        </w:rPr>
        <w:t xml:space="preserve">, </w:t>
      </w:r>
      <w:r>
        <w:t>Six</w:t>
      </w:r>
      <w:r w:rsidRPr="003F222F">
        <w:rPr>
          <w:lang w:val="ru-RU"/>
        </w:rPr>
        <w:t xml:space="preserve"> </w:t>
      </w:r>
      <w:r>
        <w:t>Sigma</w:t>
      </w:r>
      <w:r w:rsidRPr="003F222F">
        <w:rPr>
          <w:lang w:val="ru-RU"/>
        </w:rPr>
        <w:t xml:space="preserve">, бенчмаркинг) </w:t>
      </w:r>
      <w:hyperlink w:anchor="src_95" w:history="1">
        <w:r w:rsidR="006E6AEF" w:rsidRPr="003F222F">
          <w:rPr>
            <w:lang w:val="ru-RU"/>
          </w:rPr>
          <w:t>[95]</w:t>
        </w:r>
      </w:hyperlink>
      <w:r w:rsidRPr="003F222F">
        <w:rPr>
          <w:lang w:val="ru-RU"/>
        </w:rPr>
        <w:t>, а применительно к ИТ-отрасли – и программные средства автоматизации процессов качества [41, 45, 47, 61].</w:t>
      </w:r>
    </w:p>
    <w:p w14:paraId="6A17CD3A" w14:textId="77777777" w:rsidR="006E6AEF" w:rsidRPr="003F222F" w:rsidRDefault="006E6AEF">
      <w:pPr>
        <w:pStyle w:val="TNR0"/>
        <w:rPr>
          <w:lang w:val="ru-RU"/>
        </w:rPr>
      </w:pPr>
    </w:p>
    <w:p w14:paraId="2E290C01" w14:textId="77777777" w:rsidR="006E6AEF" w:rsidRDefault="00000000">
      <w:pPr>
        <w:pStyle w:val="20"/>
        <w:keepNext/>
      </w:pPr>
      <w:bookmarkStart w:id="32" w:name="sub_2_5"/>
      <w:bookmarkStart w:id="33" w:name="_Toc241781044"/>
      <w:r>
        <w:t>Понятие «эффективность управления разработкой программного продукта»</w:t>
      </w:r>
      <w:bookmarkEnd w:id="32"/>
      <w:bookmarkEnd w:id="33"/>
    </w:p>
    <w:p w14:paraId="77BE4559" w14:textId="77FD8EED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Понятие эффективности применительно к разработке программного обеспечения опирается на экономическую традицию, заложенную Б. Боэмом: в «</w:t>
      </w:r>
      <w:r>
        <w:t>Software</w:t>
      </w:r>
      <w:r w:rsidRPr="003F222F">
        <w:rPr>
          <w:lang w:val="ru-RU"/>
        </w:rPr>
        <w:t xml:space="preserve"> </w:t>
      </w:r>
      <w:r>
        <w:t>Engineering</w:t>
      </w:r>
      <w:r w:rsidRPr="003F222F">
        <w:rPr>
          <w:lang w:val="ru-RU"/>
        </w:rPr>
        <w:t xml:space="preserve"> </w:t>
      </w:r>
      <w:r>
        <w:t>Economics</w:t>
      </w:r>
      <w:r w:rsidRPr="003F222F">
        <w:rPr>
          <w:lang w:val="ru-RU"/>
        </w:rPr>
        <w:t xml:space="preserve">» эффективность разработки рассматривается через соотношение затрат, сроков и качества получаемого продукта, а решения в течение жизненного цикла обосновываются экономически </w:t>
      </w:r>
      <w:hyperlink w:anchor="src_82" w:history="1">
        <w:r w:rsidR="006E6AEF" w:rsidRPr="003F222F">
          <w:rPr>
            <w:lang w:val="ru-RU"/>
          </w:rPr>
          <w:t>[82]</w:t>
        </w:r>
      </w:hyperlink>
      <w:r w:rsidRPr="003F222F">
        <w:rPr>
          <w:lang w:val="ru-RU"/>
        </w:rPr>
        <w:t xml:space="preserve">. В </w:t>
      </w:r>
      <w:r w:rsidR="0050665D">
        <w:rPr>
          <w:lang w:val="ru-RU"/>
        </w:rPr>
        <w:t>рус</w:t>
      </w:r>
      <w:r w:rsidR="00884AD4">
        <w:rPr>
          <w:lang w:val="ru-RU"/>
        </w:rPr>
        <w:t>с</w:t>
      </w:r>
      <w:r w:rsidR="0050665D">
        <w:rPr>
          <w:lang w:val="ru-RU"/>
        </w:rPr>
        <w:t>коязычных</w:t>
      </w:r>
      <w:r w:rsidRPr="003F222F">
        <w:rPr>
          <w:lang w:val="ru-RU"/>
        </w:rPr>
        <w:t xml:space="preserve"> исследованиях близкая позиция выражена в работе А. Х. Иксановой, посвящённой повышению эффективности управления инновационным процессом создания программного обеспечения на основе модели разработки на заказ </w:t>
      </w:r>
      <w:hyperlink w:anchor="src_39" w:history="1">
        <w:r w:rsidR="006E6AEF" w:rsidRPr="003F222F">
          <w:rPr>
            <w:lang w:val="ru-RU"/>
          </w:rPr>
          <w:t>[39]</w:t>
        </w:r>
      </w:hyperlink>
      <w:r w:rsidRPr="003F222F">
        <w:rPr>
          <w:lang w:val="ru-RU"/>
        </w:rPr>
        <w:t xml:space="preserve">, и в диссертационном исследовании О. В. Амелиной об управлении качеством проектов по созданию продуктовых инноваций </w:t>
      </w:r>
      <w:hyperlink w:anchor="src_9" w:history="1">
        <w:r w:rsidR="006E6AEF" w:rsidRPr="003F222F">
          <w:rPr>
            <w:lang w:val="ru-RU"/>
          </w:rPr>
          <w:t>[9]</w:t>
        </w:r>
      </w:hyperlink>
      <w:r w:rsidRPr="003F222F">
        <w:rPr>
          <w:lang w:val="ru-RU"/>
        </w:rPr>
        <w:t xml:space="preserve">. Экономические аспекты оценки качества программного обеспечения раскрывают Е. А. Василенко и Л. Г. Мишура, оценивающие эффект от внедрения процедур оценки качества на малых предприятиях ИТ-сферы </w:t>
      </w:r>
      <w:hyperlink w:anchor="src_24" w:history="1">
        <w:r w:rsidR="006E6AEF" w:rsidRPr="003F222F">
          <w:rPr>
            <w:lang w:val="ru-RU"/>
          </w:rPr>
          <w:t>[24]</w:t>
        </w:r>
      </w:hyperlink>
      <w:r w:rsidRPr="003F222F">
        <w:rPr>
          <w:lang w:val="ru-RU"/>
        </w:rPr>
        <w:t xml:space="preserve">, </w:t>
      </w:r>
      <w:r w:rsidRPr="003F222F">
        <w:rPr>
          <w:lang w:val="ru-RU"/>
        </w:rPr>
        <w:lastRenderedPageBreak/>
        <w:t xml:space="preserve">а также Т. Р. Масалимов и С. Ф. Сайфуллина, анализирующие экономическую эффективность внедрения автоматизированного тестирования </w:t>
      </w:r>
      <w:hyperlink w:anchor="src_50" w:history="1">
        <w:r w:rsidR="006E6AEF" w:rsidRPr="003F222F">
          <w:rPr>
            <w:lang w:val="ru-RU"/>
          </w:rPr>
          <w:t>[50]</w:t>
        </w:r>
      </w:hyperlink>
      <w:r w:rsidRPr="003F222F">
        <w:rPr>
          <w:lang w:val="ru-RU"/>
        </w:rPr>
        <w:t>.</w:t>
      </w:r>
    </w:p>
    <w:p w14:paraId="59775001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Прикладные работы предлагают измерять эффективность через систему показателей. А. С. Рындина рассматривает </w:t>
      </w:r>
      <w:r>
        <w:t>KPI</w:t>
      </w:r>
      <w:r w:rsidRPr="003F222F">
        <w:rPr>
          <w:lang w:val="ru-RU"/>
        </w:rPr>
        <w:t xml:space="preserve">-метод оценки эффективности разработки программного обеспечения </w:t>
      </w:r>
      <w:hyperlink w:anchor="src_60" w:history="1">
        <w:r w:rsidR="006E6AEF" w:rsidRPr="003F222F">
          <w:rPr>
            <w:lang w:val="ru-RU"/>
          </w:rPr>
          <w:t>[60]</w:t>
        </w:r>
      </w:hyperlink>
      <w:r w:rsidRPr="003F222F">
        <w:rPr>
          <w:lang w:val="ru-RU"/>
        </w:rPr>
        <w:t xml:space="preserve">. И. В. Гаранин и Н. Е. Садковская связывают повышение качества разработки с практиками </w:t>
      </w:r>
      <w:r>
        <w:t>DoR</w:t>
      </w:r>
      <w:r w:rsidRPr="003F222F">
        <w:rPr>
          <w:lang w:val="ru-RU"/>
        </w:rPr>
        <w:t>/</w:t>
      </w:r>
      <w:r>
        <w:t>DoD</w:t>
      </w:r>
      <w:r w:rsidRPr="003F222F">
        <w:rPr>
          <w:lang w:val="ru-RU"/>
        </w:rPr>
        <w:t xml:space="preserve"> </w:t>
      </w:r>
      <w:hyperlink w:anchor="src_26" w:history="1">
        <w:r w:rsidR="006E6AEF" w:rsidRPr="003F222F">
          <w:rPr>
            <w:lang w:val="ru-RU"/>
          </w:rPr>
          <w:t>[26]</w:t>
        </w:r>
      </w:hyperlink>
      <w:r w:rsidRPr="003F222F">
        <w:rPr>
          <w:lang w:val="ru-RU"/>
        </w:rPr>
        <w:t xml:space="preserve">. Я. А. Лагутин и О. Н. Егорова – с комбинированием методологий разработки как средством повышения эффективности работ по созданию программных продуктов </w:t>
      </w:r>
      <w:hyperlink w:anchor="src_48" w:history="1">
        <w:r w:rsidR="006E6AEF" w:rsidRPr="003F222F">
          <w:rPr>
            <w:lang w:val="ru-RU"/>
          </w:rPr>
          <w:t>[48]</w:t>
        </w:r>
      </w:hyperlink>
      <w:r w:rsidRPr="003F222F">
        <w:rPr>
          <w:lang w:val="ru-RU"/>
        </w:rPr>
        <w:t xml:space="preserve">. Л. Е. Филяков выделяет факторы роста эффективности компаний-разработчиков на фоне технологических сдвигов </w:t>
      </w:r>
      <w:hyperlink w:anchor="src_66" w:history="1">
        <w:r w:rsidR="006E6AEF" w:rsidRPr="003F222F">
          <w:rPr>
            <w:lang w:val="ru-RU"/>
          </w:rPr>
          <w:t>[66]</w:t>
        </w:r>
      </w:hyperlink>
      <w:r w:rsidRPr="003F222F">
        <w:rPr>
          <w:lang w:val="ru-RU"/>
        </w:rPr>
        <w:t xml:space="preserve">, а Е. Н. Шереметьева и И. С. Зарецкий исследуют стратегическое обеспечение управления жизненным циклом интеллектуального программного продукта </w:t>
      </w:r>
      <w:hyperlink w:anchor="src_71" w:history="1">
        <w:r w:rsidR="006E6AEF" w:rsidRPr="003F222F">
          <w:rPr>
            <w:lang w:val="ru-RU"/>
          </w:rPr>
          <w:t>[71]</w:t>
        </w:r>
      </w:hyperlink>
      <w:r w:rsidRPr="003F222F">
        <w:rPr>
          <w:lang w:val="ru-RU"/>
        </w:rPr>
        <w:t xml:space="preserve">. Анализу эффективности деятельности руководителей проектов разработки и оптимизации процесса разработки посвящены работы М. Ю. Иванова </w:t>
      </w:r>
      <w:hyperlink w:anchor="src_37" w:history="1">
        <w:r w:rsidR="006E6AEF" w:rsidRPr="003F222F">
          <w:rPr>
            <w:lang w:val="ru-RU"/>
          </w:rPr>
          <w:t>[37]</w:t>
        </w:r>
      </w:hyperlink>
      <w:r w:rsidRPr="003F222F">
        <w:rPr>
          <w:lang w:val="ru-RU"/>
        </w:rPr>
        <w:t xml:space="preserve"> и Э. В. Кузьминой с Н. Г. Пьянковой </w:t>
      </w:r>
      <w:hyperlink w:anchor="src_46" w:history="1">
        <w:r w:rsidR="006E6AEF" w:rsidRPr="003F222F">
          <w:rPr>
            <w:lang w:val="ru-RU"/>
          </w:rPr>
          <w:t>[46]</w:t>
        </w:r>
      </w:hyperlink>
      <w:r w:rsidRPr="003F222F">
        <w:rPr>
          <w:lang w:val="ru-RU"/>
        </w:rPr>
        <w:t>.</w:t>
      </w:r>
    </w:p>
    <w:p w14:paraId="51452D20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В современной зарубежной литературе сформировался самостоятельный подход к измерению эффективности поставки программных продуктов: Н. Форсгрен, Дж. Хамбл и Дж. Ким обосновывают четыре ключевые метрики производительности команды (время выполнения изменений, частота развёртывания, время восстановления после отказов, доля неудачных изменений) и показывают статистическую связь </w:t>
      </w:r>
      <w:r>
        <w:t>lean</w:t>
      </w:r>
      <w:r w:rsidRPr="003F222F">
        <w:rPr>
          <w:lang w:val="ru-RU"/>
        </w:rPr>
        <w:t xml:space="preserve">-практик с результативностью и стабильностью поставки </w:t>
      </w:r>
      <w:hyperlink w:anchor="src_85" w:history="1">
        <w:r w:rsidR="006E6AEF" w:rsidRPr="003F222F">
          <w:rPr>
            <w:lang w:val="ru-RU"/>
          </w:rPr>
          <w:t>[85]</w:t>
        </w:r>
      </w:hyperlink>
      <w:r w:rsidRPr="003F222F">
        <w:rPr>
          <w:lang w:val="ru-RU"/>
        </w:rPr>
        <w:t xml:space="preserve">. </w:t>
      </w:r>
      <w:r w:rsidRPr="00426D46">
        <w:rPr>
          <w:lang w:val="ru-RU"/>
        </w:rPr>
        <w:t xml:space="preserve">Аналогичные индикаторы ежегодно аккумулируются в отчёте </w:t>
      </w:r>
      <w:r>
        <w:t>Accelerate</w:t>
      </w:r>
      <w:r w:rsidRPr="00426D46">
        <w:rPr>
          <w:lang w:val="ru-RU"/>
        </w:rPr>
        <w:t xml:space="preserve"> </w:t>
      </w:r>
      <w:r>
        <w:t>State</w:t>
      </w:r>
      <w:r w:rsidRPr="00426D46">
        <w:rPr>
          <w:lang w:val="ru-RU"/>
        </w:rPr>
        <w:t xml:space="preserve"> </w:t>
      </w:r>
      <w:r>
        <w:t>of</w:t>
      </w:r>
      <w:r w:rsidRPr="00426D46">
        <w:rPr>
          <w:lang w:val="ru-RU"/>
        </w:rPr>
        <w:t xml:space="preserve"> </w:t>
      </w:r>
      <w:r>
        <w:t>DevOps</w:t>
      </w:r>
      <w:r w:rsidRPr="00426D46">
        <w:rPr>
          <w:lang w:val="ru-RU"/>
        </w:rPr>
        <w:t xml:space="preserve"> </w:t>
      </w:r>
      <w:r>
        <w:t>Report</w:t>
      </w:r>
      <w:r w:rsidRPr="00426D46">
        <w:rPr>
          <w:lang w:val="ru-RU"/>
        </w:rPr>
        <w:t xml:space="preserve"> </w:t>
      </w:r>
      <w:hyperlink w:anchor="src_77" w:history="1">
        <w:r w:rsidR="006E6AEF" w:rsidRPr="00426D46">
          <w:rPr>
            <w:lang w:val="ru-RU"/>
          </w:rPr>
          <w:t>[77]</w:t>
        </w:r>
      </w:hyperlink>
      <w:r w:rsidRPr="00426D46">
        <w:rPr>
          <w:lang w:val="ru-RU"/>
        </w:rPr>
        <w:t xml:space="preserve">. </w:t>
      </w:r>
      <w:r w:rsidRPr="003F222F">
        <w:rPr>
          <w:lang w:val="ru-RU"/>
        </w:rPr>
        <w:t xml:space="preserve">С этим подходом перекликаются метод </w:t>
      </w:r>
      <w:r>
        <w:t>GQM</w:t>
      </w:r>
      <w:r w:rsidRPr="003F222F">
        <w:rPr>
          <w:lang w:val="ru-RU"/>
        </w:rPr>
        <w:t xml:space="preserve">, связывающий цели организации с вопросами и метриками измерений </w:t>
      </w:r>
      <w:hyperlink w:anchor="src_78" w:history="1">
        <w:r w:rsidR="006E6AEF" w:rsidRPr="003F222F">
          <w:rPr>
            <w:lang w:val="ru-RU"/>
          </w:rPr>
          <w:t>[78]</w:t>
        </w:r>
      </w:hyperlink>
      <w:r w:rsidRPr="003F222F">
        <w:rPr>
          <w:lang w:val="ru-RU"/>
        </w:rPr>
        <w:t xml:space="preserve">, а также практика непрерывной поставки </w:t>
      </w:r>
      <w:hyperlink w:anchor="src_90" w:history="1">
        <w:r w:rsidR="006E6AEF" w:rsidRPr="003F222F">
          <w:rPr>
            <w:lang w:val="ru-RU"/>
          </w:rPr>
          <w:t>[90]</w:t>
        </w:r>
      </w:hyperlink>
      <w:r w:rsidRPr="003F222F">
        <w:rPr>
          <w:lang w:val="ru-RU"/>
        </w:rPr>
        <w:t>.</w:t>
      </w:r>
    </w:p>
    <w:p w14:paraId="65E0FAA4" w14:textId="2E933644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Отдельный контекст последнего времени – применение</w:t>
      </w:r>
      <w:r w:rsidR="004D24EA">
        <w:rPr>
          <w:lang w:val="ru-RU"/>
        </w:rPr>
        <w:t xml:space="preserve"> моделей</w:t>
      </w:r>
      <w:r w:rsidRPr="003F222F">
        <w:rPr>
          <w:lang w:val="ru-RU"/>
        </w:rPr>
        <w:t xml:space="preserve"> генеративного искусственного интеллекта как инструмента повышения качества и эффективности разработки. Систематический обзор Х. Хоу и соавторов фиксирует широкий спектр применений больших языковых моделей во всех процессах разработки – от генерации требований и кода до рецензирования и сопровождения </w:t>
      </w:r>
      <w:hyperlink w:anchor="src_88" w:history="1">
        <w:r w:rsidR="006E6AEF" w:rsidRPr="003F222F">
          <w:rPr>
            <w:lang w:val="ru-RU"/>
          </w:rPr>
          <w:t>[88]</w:t>
        </w:r>
      </w:hyperlink>
      <w:r w:rsidR="00A11353">
        <w:rPr>
          <w:lang w:val="ru-RU"/>
        </w:rPr>
        <w:t>.</w:t>
      </w:r>
      <w:r w:rsidRPr="003F222F">
        <w:rPr>
          <w:lang w:val="ru-RU"/>
        </w:rPr>
        <w:t xml:space="preserve"> </w:t>
      </w:r>
      <w:r w:rsidR="00A11353">
        <w:rPr>
          <w:lang w:val="ru-RU"/>
        </w:rPr>
        <w:t>О</w:t>
      </w:r>
      <w:r w:rsidRPr="003F222F">
        <w:rPr>
          <w:lang w:val="ru-RU"/>
        </w:rPr>
        <w:t xml:space="preserve">бзор Дж. Ванга и соавторов посвящён тестированию программного обеспечения с применением больших языковых моделей и показывает, что эта область активно развивается, оставаясь при этом методологически незавершённой </w:t>
      </w:r>
      <w:hyperlink w:anchor="src_105" w:history="1">
        <w:r w:rsidR="006E6AEF" w:rsidRPr="003F222F">
          <w:rPr>
            <w:lang w:val="ru-RU"/>
          </w:rPr>
          <w:t>[105]</w:t>
        </w:r>
      </w:hyperlink>
      <w:r w:rsidRPr="003F222F">
        <w:rPr>
          <w:lang w:val="ru-RU"/>
        </w:rPr>
        <w:t xml:space="preserve">. Вместе с тем эмпирические данные о влиянии ИИ-инструментов на эффективность неоднозначны: эксперимент </w:t>
      </w:r>
      <w:r>
        <w:t>METR</w:t>
      </w:r>
      <w:r w:rsidRPr="003F222F">
        <w:rPr>
          <w:lang w:val="ru-RU"/>
        </w:rPr>
        <w:t xml:space="preserve"> с опытными </w:t>
      </w:r>
      <w:r>
        <w:t>open</w:t>
      </w:r>
      <w:r w:rsidRPr="003F222F">
        <w:rPr>
          <w:lang w:val="ru-RU"/>
        </w:rPr>
        <w:t>-</w:t>
      </w:r>
      <w:r>
        <w:t>source</w:t>
      </w:r>
      <w:r w:rsidRPr="003F222F">
        <w:rPr>
          <w:lang w:val="ru-RU"/>
        </w:rPr>
        <w:t xml:space="preserve">-разработчиками зафиксировал снижение их производительности при использовании ИИ-ассистентов вопреки субъективным </w:t>
      </w:r>
      <w:r w:rsidRPr="003F222F">
        <w:rPr>
          <w:lang w:val="ru-RU"/>
        </w:rPr>
        <w:lastRenderedPageBreak/>
        <w:t xml:space="preserve">ощущениям ускорения </w:t>
      </w:r>
      <w:hyperlink w:anchor="src_80" w:history="1">
        <w:r w:rsidR="006E6AEF" w:rsidRPr="003F222F">
          <w:rPr>
            <w:lang w:val="ru-RU"/>
          </w:rPr>
          <w:t>[80]</w:t>
        </w:r>
      </w:hyperlink>
      <w:r w:rsidRPr="003F222F">
        <w:rPr>
          <w:lang w:val="ru-RU"/>
        </w:rPr>
        <w:t xml:space="preserve">, а отчёт </w:t>
      </w:r>
      <w:r>
        <w:t>DORA</w:t>
      </w:r>
      <w:r w:rsidRPr="003F222F">
        <w:rPr>
          <w:lang w:val="ru-RU"/>
        </w:rPr>
        <w:t xml:space="preserve"> 2024 года отмечает, что рост внедрения ИИ коррелирует со снижением стабильности поставки </w:t>
      </w:r>
      <w:hyperlink w:anchor="src_77" w:history="1">
        <w:r w:rsidR="006E6AEF" w:rsidRPr="003F222F">
          <w:rPr>
            <w:lang w:val="ru-RU"/>
          </w:rPr>
          <w:t>[77]</w:t>
        </w:r>
      </w:hyperlink>
      <w:r w:rsidRPr="003F222F">
        <w:rPr>
          <w:lang w:val="ru-RU"/>
        </w:rPr>
        <w:t xml:space="preserve">. В русскоязычной литературе влияние искусственного интеллекта на автоматизацию тестирования и на эффективность работы команд разработки рассматривают Н. А. Киселёв и А. В. Селиванов </w:t>
      </w:r>
      <w:hyperlink w:anchor="src_40" w:history="1">
        <w:r w:rsidR="006E6AEF" w:rsidRPr="003F222F">
          <w:rPr>
            <w:lang w:val="ru-RU"/>
          </w:rPr>
          <w:t>[40]</w:t>
        </w:r>
      </w:hyperlink>
      <w:r w:rsidRPr="003F222F">
        <w:rPr>
          <w:lang w:val="ru-RU"/>
        </w:rPr>
        <w:t xml:space="preserve">, а также М. А. Шихмырадов с соавторами </w:t>
      </w:r>
      <w:hyperlink w:anchor="src_73" w:history="1">
        <w:r w:rsidR="006E6AEF" w:rsidRPr="003F222F">
          <w:rPr>
            <w:lang w:val="ru-RU"/>
          </w:rPr>
          <w:t>[73]</w:t>
        </w:r>
      </w:hyperlink>
      <w:r w:rsidRPr="003F222F">
        <w:rPr>
          <w:lang w:val="ru-RU"/>
        </w:rPr>
        <w:t>.</w:t>
      </w:r>
    </w:p>
    <w:p w14:paraId="02FC5381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Сходством определений является измеримость: эффективность управления разработкой трактуется через систему показателей, связывающих затраты, сроки и качество. Расхождения носят преимущественно содержательный характер: экономическая трактовка делает акцент на соотношении затрат и результата [24, 82], процессная – на метриках потока поставки [77, 85], управленческая – на результативности управленческих воздействий и зрелости процессов [9, 39, 72]. Влияние ИИ на эффективность на текущий момент остаётся дискуссионным вопросом, требующим дальнейших исследований [77, 80, 88, 105].</w:t>
      </w:r>
    </w:p>
    <w:p w14:paraId="251C1AE3" w14:textId="77777777" w:rsidR="006E6AEF" w:rsidRPr="003F222F" w:rsidRDefault="006E6AEF">
      <w:pPr>
        <w:pStyle w:val="TNR0"/>
        <w:rPr>
          <w:lang w:val="ru-RU"/>
        </w:rPr>
      </w:pPr>
    </w:p>
    <w:p w14:paraId="42403196" w14:textId="77777777" w:rsidR="006E6AEF" w:rsidRDefault="00000000">
      <w:pPr>
        <w:pStyle w:val="20"/>
        <w:keepNext/>
      </w:pPr>
      <w:bookmarkStart w:id="34" w:name="sub_2_6"/>
      <w:bookmarkStart w:id="35" w:name="_Toc241781045"/>
      <w:r>
        <w:t>Сопоставительный анализ определений и общие выводы</w:t>
      </w:r>
      <w:bookmarkEnd w:id="34"/>
      <w:bookmarkEnd w:id="35"/>
    </w:p>
    <w:p w14:paraId="33BB1E09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Результаты сопоставительного анализа определений пяти ключевых понятий обобщены в </w:t>
      </w:r>
      <w:hyperlink w:anchor="tbl_2_1" w:history="1">
        <w:r w:rsidR="006E6AEF" w:rsidRPr="003F222F">
          <w:rPr>
            <w:lang w:val="ru-RU"/>
          </w:rPr>
          <w:t>таблице 2.1</w:t>
        </w:r>
      </w:hyperlink>
      <w:r w:rsidRPr="003F222F">
        <w:rPr>
          <w:lang w:val="ru-RU"/>
        </w:rPr>
        <w:t>.</w:t>
      </w:r>
    </w:p>
    <w:p w14:paraId="2C7C113E" w14:textId="77777777" w:rsidR="006E6AEF" w:rsidRDefault="00000000">
      <w:pPr>
        <w:pStyle w:val="a2"/>
        <w:keepNext/>
        <w:numPr>
          <w:ilvl w:val="4"/>
          <w:numId w:val="0"/>
        </w:numPr>
      </w:pPr>
      <w:bookmarkStart w:id="36" w:name="tbl_2_1"/>
      <w:r>
        <w:t>Таблица 2.1 – Сопоставительный анализ определений ключевых понятий</w:t>
      </w:r>
      <w:bookmarkEnd w:id="36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198"/>
        <w:gridCol w:w="3715"/>
        <w:gridCol w:w="3715"/>
      </w:tblGrid>
      <w:tr w:rsidR="006E6AEF" w14:paraId="7946BCE2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E466D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Понятие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08156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Общий стержень определений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EB3DB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Основные расхождения</w:t>
            </w:r>
          </w:p>
        </w:tc>
      </w:tr>
      <w:tr w:rsidR="006E6AEF" w14:paraId="2115996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9329F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Менеджмент качества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7D5CE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Ориентация на потребителя, процессный и системный подход, принятие решений на основе фактов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203B9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Широта трактовки: от соответствия спецификации до управления всей деятельностью организации применительно к качеству</w:t>
            </w:r>
          </w:p>
        </w:tc>
      </w:tr>
      <w:tr w:rsidR="006E6AEF" w14:paraId="0274329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B3CBE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Качество программного продукта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61891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Совокупность измеримых характеристик, соотносимых с требованиями и ожиданиями пользователей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960D2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Функциональный, нормативный или потребительский акцент; различие подходов к измеримости качества</w:t>
            </w:r>
          </w:p>
        </w:tc>
      </w:tr>
      <w:tr w:rsidR="006E6AEF" w14:paraId="79340726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52CE2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Жизненный цикл программного обеспечения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C122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Промежуток от возникновения потребности в продукте до его вывода из эксплуатации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8F678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Стадийный, процессный или итеративный способ структурирования жизненного цикла</w:t>
            </w:r>
          </w:p>
        </w:tc>
      </w:tr>
      <w:tr w:rsidR="006E6AEF" w14:paraId="42F92C22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3276D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Инструменты менеджмента качества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C6CB9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Метод или средство, делающие качество измеримым и управляемым на конкретном процессе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3ACCD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Границы понятия: статистические методы, организационные методики, программные средства автоматизации</w:t>
            </w:r>
          </w:p>
        </w:tc>
      </w:tr>
      <w:tr w:rsidR="006E6AEF" w14:paraId="1E0D17C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EFEF9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lastRenderedPageBreak/>
              <w:t>Эффективность управления разработкой программного продукта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88280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Измеримость через систему показателей, связывающих затраты, сроки и качество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36601" w14:textId="2D4E80F3" w:rsidR="006E6AEF" w:rsidRDefault="00000000">
            <w:r>
              <w:rPr>
                <w:rFonts w:ascii="Times New Roman" w:hAnsi="Times New Roman" w:cs="Times New Roman"/>
                <w:sz w:val="24"/>
              </w:rPr>
              <w:t>Экономическая, процессная или управленческая трактовка</w:t>
            </w:r>
            <w:r w:rsidR="00A11353">
              <w:rPr>
                <w:rFonts w:ascii="Times New Roman" w:hAnsi="Times New Roman" w:cs="Times New Roman"/>
                <w:sz w:val="24"/>
              </w:rPr>
              <w:t>. Д</w:t>
            </w:r>
            <w:r>
              <w:rPr>
                <w:rFonts w:ascii="Times New Roman" w:hAnsi="Times New Roman" w:cs="Times New Roman"/>
                <w:sz w:val="24"/>
              </w:rPr>
              <w:t>искуссионная роль искусственного интеллекта</w:t>
            </w:r>
          </w:p>
        </w:tc>
      </w:tr>
    </w:tbl>
    <w:p w14:paraId="7756A201" w14:textId="77777777" w:rsidR="006E6AEF" w:rsidRDefault="006E6AEF"/>
    <w:p w14:paraId="519209B5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Проведённый анализ позволяет сделать следующие выводы.</w:t>
      </w:r>
    </w:p>
    <w:p w14:paraId="6A8B3CA4" w14:textId="53318492" w:rsidR="006E6AEF" w:rsidRDefault="00000000">
      <w:pPr>
        <w:pStyle w:val="a0"/>
        <w:numPr>
          <w:ilvl w:val="0"/>
          <w:numId w:val="15"/>
        </w:numPr>
      </w:pPr>
      <w:r>
        <w:t>Все рассмотренные понятия образуют взаимосвязанную систему: «качество программного продукта» задаёт целевое состояние, «жизненный цикл» определяет поле действия процессов разработки, «инструменты менеджмента качества» выступают средствами достижения целевого состояния, а «менеджмент качества» образует системообразующую рамку, объединяющую цели, средства и процессы, а «эффективность управления разработкой» служит измеримой характеристикой того, насколько согласованная работа этой системы приводит к требуемому результату</w:t>
      </w:r>
      <w:r w:rsidR="00A11353">
        <w:t>.</w:t>
      </w:r>
    </w:p>
    <w:p w14:paraId="7AA26240" w14:textId="570C8CDA" w:rsidR="006E6AEF" w:rsidRDefault="00A11353">
      <w:pPr>
        <w:pStyle w:val="a0"/>
        <w:numPr>
          <w:ilvl w:val="0"/>
          <w:numId w:val="15"/>
        </w:numPr>
      </w:pPr>
      <w:r>
        <w:t>Сходства определений устойчиво воспроизводятся в источниках разных периодов: ориентация на потребителя и требования, процессный подход, измеримость качества и принятие решений на основе фактов. Это свидетельствует о преемственности понятийного ядра от классических работ по менеджменту качества [12, 83, 91, 95] до современных стандартов [2, 5, 6, 92, 93] и исследований разработки ПО [64, 87].</w:t>
      </w:r>
    </w:p>
    <w:p w14:paraId="42A0290F" w14:textId="6BB41AB5" w:rsidR="006E6AEF" w:rsidRDefault="00A11353">
      <w:pPr>
        <w:pStyle w:val="a0"/>
        <w:numPr>
          <w:ilvl w:val="0"/>
          <w:numId w:val="15"/>
        </w:numPr>
      </w:pPr>
      <w:r>
        <w:t>Основные расхождения определений отражают не столько противоречия, сколько расширение предметной области: узкие производственные трактовки качества и контроля постепенно дополняются рыночными (конкурентоспособность, удовлетворённость потребителя) [76, 95], стадийные модели жизненного цикла – процессными и итеративными [4, 94, 98], а классический статистический инструментарий – цифровыми и программными средствами поддержки процессов качества [41, 45, 47, 61].</w:t>
      </w:r>
    </w:p>
    <w:p w14:paraId="15540F60" w14:textId="4C925FD6" w:rsidR="006E6AEF" w:rsidRDefault="00A11353">
      <w:pPr>
        <w:pStyle w:val="a0"/>
        <w:numPr>
          <w:ilvl w:val="0"/>
          <w:numId w:val="15"/>
        </w:numPr>
      </w:pPr>
      <w:r>
        <w:t xml:space="preserve">В литературе отсутствует единая позиция по вопросу о том, каким образом классические инструменты менеджмента качества (статистическое управление процессами, цикл PDCA, затраты на качество) должны интегрироваться с программными инструментами поддержки жизненного цикла разработки ПО (системами управления требованиями, тестированием, сборкой и поставкой). Авторы либо исследуют организационные инструменты вне программной поддержки [15, 49, 59], либо описывают программные средства вне методологии </w:t>
      </w:r>
      <w:r>
        <w:lastRenderedPageBreak/>
        <w:t>менеджмента качества [47, 88, 105], что дает пространство для дальнейших исследований.</w:t>
      </w:r>
    </w:p>
    <w:p w14:paraId="54DE9111" w14:textId="77777777" w:rsidR="006E6AEF" w:rsidRDefault="00000000">
      <w:pPr>
        <w:pStyle w:val="a0"/>
        <w:numPr>
          <w:ilvl w:val="0"/>
          <w:numId w:val="15"/>
        </w:numPr>
      </w:pPr>
      <w:r>
        <w:t>оценка эффективности управления разработкой и влияние новых технологий (генеративного искусственного интеллекта) на эту эффективность остаются дискуссионными: результаты исследований 2024–2025 годов противоречивы [77, 80, 88, 105], что подтверждает актуальность поиска измеримых инструментов повышения эффективности на основе менеджмента качества.</w:t>
      </w:r>
    </w:p>
    <w:p w14:paraId="7970260B" w14:textId="5E8D4736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Таким образом, проведённый литературный анализ показывает, что тема лежит на пересечении трёх хорошо </w:t>
      </w:r>
      <w:r w:rsidR="00A11353">
        <w:rPr>
          <w:lang w:val="ru-RU"/>
        </w:rPr>
        <w:t>развитых</w:t>
      </w:r>
      <w:r w:rsidRPr="003F222F">
        <w:rPr>
          <w:lang w:val="ru-RU"/>
        </w:rPr>
        <w:t xml:space="preserve"> направлений (менеджмент качества, программная инженерия, экономика разработки), однако их интеграция – применение инструментов менеджмента качества для повышения эффективности управления жизненным циклом разработки программного продукта – исследована недостаточно и нуждается в дальнейшей разработке.</w:t>
      </w:r>
    </w:p>
    <w:p w14:paraId="5E707146" w14:textId="77777777" w:rsidR="006E6AEF" w:rsidRDefault="00000000">
      <w:pPr>
        <w:pStyle w:val="15"/>
        <w:pageBreakBefore/>
      </w:pPr>
      <w:bookmarkStart w:id="37" w:name="sub_3_0"/>
      <w:bookmarkStart w:id="38" w:name="_Toc241781046"/>
      <w:r>
        <w:lastRenderedPageBreak/>
        <w:t>Список использованных источников</w:t>
      </w:r>
      <w:bookmarkEnd w:id="37"/>
      <w:bookmarkEnd w:id="38"/>
    </w:p>
    <w:p w14:paraId="1AB67F3F" w14:textId="77777777" w:rsidR="006E6AEF" w:rsidRDefault="00000000">
      <w:pPr>
        <w:pStyle w:val="a1"/>
      </w:pPr>
      <w:bookmarkStart w:id="39" w:name="src_1"/>
      <w:r>
        <w:t>ГОСТ 34.601-90. Информационная технология. Комплекс стандартов на автоматизированные системы. Автоматизированные системы. Стадии создания. – М. : Стандартинформ, 2009.</w:t>
      </w:r>
      <w:bookmarkEnd w:id="39"/>
    </w:p>
    <w:p w14:paraId="663C4E2E" w14:textId="77777777" w:rsidR="006E6AEF" w:rsidRDefault="00000000">
      <w:pPr>
        <w:pStyle w:val="a1"/>
      </w:pPr>
      <w:bookmarkStart w:id="40" w:name="src_2"/>
      <w:r>
        <w:t>ГОСТ Р ИСО 9000-2015. Системы менеджмента качества. Основные положения и словарь. – М. : Стандартинформ, 2015.</w:t>
      </w:r>
      <w:bookmarkEnd w:id="40"/>
    </w:p>
    <w:p w14:paraId="329020B1" w14:textId="77777777" w:rsidR="006E6AEF" w:rsidRDefault="00000000">
      <w:pPr>
        <w:pStyle w:val="a1"/>
      </w:pPr>
      <w:bookmarkStart w:id="41" w:name="src_3"/>
      <w:r>
        <w:t>ГОСТ Р ИСО 9001-2015. Системы менеджмента качества. Требования. – М. : Стандартинформ, 2015.</w:t>
      </w:r>
      <w:bookmarkEnd w:id="41"/>
    </w:p>
    <w:p w14:paraId="5E42E1F1" w14:textId="77777777" w:rsidR="006E6AEF" w:rsidRDefault="00000000">
      <w:pPr>
        <w:pStyle w:val="a1"/>
      </w:pPr>
      <w:bookmarkStart w:id="42" w:name="src_4"/>
      <w:r>
        <w:t>ГОСТ Р ИСО/МЭК 12207-2010. Информационная технология. Системная и программная инженерия. Процессы жизненного цикла программных средств. – М. : Стандартинформ, 2011.</w:t>
      </w:r>
      <w:bookmarkEnd w:id="42"/>
    </w:p>
    <w:p w14:paraId="46E2CADE" w14:textId="77777777" w:rsidR="006E6AEF" w:rsidRDefault="00000000">
      <w:pPr>
        <w:pStyle w:val="a1"/>
      </w:pPr>
      <w:bookmarkStart w:id="43" w:name="src_5"/>
      <w:r>
        <w:t>ГОСТ Р ИСО/МЭК 25000-2021. Информационные технологии. Системная и программная инженерия. Требования и оценка качества систем и программных средств (SQuaRE). Обзор справочного руководства. – М. : Российский институт стандартизации, 2021.</w:t>
      </w:r>
      <w:bookmarkEnd w:id="43"/>
    </w:p>
    <w:p w14:paraId="058D8B35" w14:textId="77777777" w:rsidR="006E6AEF" w:rsidRDefault="00000000">
      <w:pPr>
        <w:pStyle w:val="a1"/>
      </w:pPr>
      <w:bookmarkStart w:id="44" w:name="src_6"/>
      <w:r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программного обеспечения. – М. : Стандартинформ, 2015.</w:t>
      </w:r>
      <w:bookmarkEnd w:id="44"/>
    </w:p>
    <w:p w14:paraId="22221A97" w14:textId="77777777" w:rsidR="006E6AEF" w:rsidRDefault="00000000">
      <w:pPr>
        <w:pStyle w:val="a1"/>
      </w:pPr>
      <w:bookmarkStart w:id="45" w:name="src_7"/>
      <w:r>
        <w:t>ГОСТ Р ИСО/МЭК 25012-2014. Информационные технологии. Системная и программная инженерия. Требования и оценка качества систем и программного обеспечения (SQuaRE). Модель качества данных. – М. : Стандартинформ, 2015.</w:t>
      </w:r>
      <w:bookmarkEnd w:id="45"/>
    </w:p>
    <w:p w14:paraId="1162DE63" w14:textId="77777777" w:rsidR="006E6AEF" w:rsidRDefault="00000000">
      <w:pPr>
        <w:pStyle w:val="a1"/>
      </w:pPr>
      <w:bookmarkStart w:id="46" w:name="src_8"/>
      <w:r>
        <w:t>Аветисян А. И. Современные методы статического и динамического анализа программ для автоматизации процессов повышения качества программного обеспечения : дис. … д-ра физ.-мат. наук / Институт системного программирования РАН. – Москва, 2012.</w:t>
      </w:r>
      <w:bookmarkEnd w:id="46"/>
    </w:p>
    <w:p w14:paraId="18FA330A" w14:textId="77777777" w:rsidR="006E6AEF" w:rsidRDefault="00000000">
      <w:pPr>
        <w:pStyle w:val="a1"/>
      </w:pPr>
      <w:bookmarkStart w:id="47" w:name="src_9"/>
      <w:r>
        <w:t>Амелина О. В. Управление качеством проектов по созданию продуктовых инноваций (на примере разработки программного обеспечения) : дис. … канд. экон. наук. – Орел, 2003.</w:t>
      </w:r>
      <w:bookmarkEnd w:id="47"/>
    </w:p>
    <w:p w14:paraId="5184CD84" w14:textId="77777777" w:rsidR="006E6AEF" w:rsidRDefault="00000000">
      <w:pPr>
        <w:pStyle w:val="a1"/>
      </w:pPr>
      <w:bookmarkStart w:id="48" w:name="src_10"/>
      <w:r>
        <w:t>Вендров А. М. Проектирование программного обеспечения экономических информационных систем / А. М. Вендров. – Москва : Финансы и статистика, 2006.</w:t>
      </w:r>
      <w:bookmarkEnd w:id="48"/>
    </w:p>
    <w:p w14:paraId="6ECD1459" w14:textId="77777777" w:rsidR="006E6AEF" w:rsidRDefault="00000000">
      <w:pPr>
        <w:pStyle w:val="a1"/>
      </w:pPr>
      <w:bookmarkStart w:id="49" w:name="src_11"/>
      <w:r>
        <w:t>Глухих М. И., Ицыксон В. М. Программная инженерия. Обеспечение качества программных средств методами статического анализа : учебное пособие / М. И. Глухих, В. М. Ицыксон. – Санкт-Петербург, 2011.</w:t>
      </w:r>
      <w:bookmarkEnd w:id="49"/>
    </w:p>
    <w:p w14:paraId="4C927A8A" w14:textId="77777777" w:rsidR="006E6AEF" w:rsidRDefault="00000000">
      <w:pPr>
        <w:pStyle w:val="a1"/>
      </w:pPr>
      <w:bookmarkStart w:id="50" w:name="src_12"/>
      <w:r>
        <w:lastRenderedPageBreak/>
        <w:t>Деминг Э. Выход из кризиса. Новая парадигма управления людьми, системами и процессами / Э. Деминг. – Москва : Альпина Паблишер, 2017.</w:t>
      </w:r>
      <w:bookmarkEnd w:id="50"/>
    </w:p>
    <w:p w14:paraId="2A73E2AA" w14:textId="77777777" w:rsidR="006E6AEF" w:rsidRDefault="00000000">
      <w:pPr>
        <w:pStyle w:val="a1"/>
      </w:pPr>
      <w:bookmarkStart w:id="51" w:name="src_13"/>
      <w:r>
        <w:t>Кумагина Е. А., Неймарк Е. А. Модели жизненного цикла и технологии проектирования программного обеспечения : учебно-методическое пособие / Е. А. Кумагина, Е. А. Неймарк. – Нижний Новгород, 2016.</w:t>
      </w:r>
      <w:bookmarkEnd w:id="51"/>
    </w:p>
    <w:p w14:paraId="3ACB6821" w14:textId="77777777" w:rsidR="006E6AEF" w:rsidRDefault="00000000">
      <w:pPr>
        <w:pStyle w:val="a1"/>
      </w:pPr>
      <w:bookmarkStart w:id="52" w:name="src_14"/>
      <w:r>
        <w:t>Липаев В. В. Обеспечение качества программных средств. Методы и стандарты / В. В. Липаев. – Москва : СИНТЕГ, 2001.</w:t>
      </w:r>
      <w:bookmarkEnd w:id="52"/>
    </w:p>
    <w:p w14:paraId="286681B2" w14:textId="77777777" w:rsidR="006E6AEF" w:rsidRDefault="00000000">
      <w:pPr>
        <w:pStyle w:val="a1"/>
      </w:pPr>
      <w:bookmarkStart w:id="53" w:name="src_15"/>
      <w:r>
        <w:t>Мазур И. И. Управление качеством : учебное пособие / И. И. Мазур, В. Д. Шапиро. – Москва : Омега-Л, 2011.</w:t>
      </w:r>
      <w:bookmarkEnd w:id="53"/>
    </w:p>
    <w:p w14:paraId="7F8A5CFB" w14:textId="77777777" w:rsidR="006E6AEF" w:rsidRDefault="00000000">
      <w:pPr>
        <w:pStyle w:val="a1"/>
      </w:pPr>
      <w:bookmarkStart w:id="54" w:name="src_16"/>
      <w:r>
        <w:t>Орлов С. А. Технологии разработки программного обеспечения : учебник для вузов / С. А. Орлов, Б. Я. Цилькер. – Санкт-Петербург : Питер, 2012.</w:t>
      </w:r>
      <w:bookmarkEnd w:id="54"/>
    </w:p>
    <w:p w14:paraId="7A1E08C9" w14:textId="77777777" w:rsidR="006E6AEF" w:rsidRDefault="00000000">
      <w:pPr>
        <w:pStyle w:val="a1"/>
      </w:pPr>
      <w:bookmarkStart w:id="55" w:name="src_17"/>
      <w:r>
        <w:t>Садыков А. М. Методы поддержки жизненного цикла разработки программного обеспечения : учебно-методическое пособие / А. М. Садыков. – Иваново, 2019.</w:t>
      </w:r>
      <w:bookmarkEnd w:id="55"/>
    </w:p>
    <w:p w14:paraId="6D43EDBE" w14:textId="77777777" w:rsidR="006E6AEF" w:rsidRDefault="00000000">
      <w:pPr>
        <w:pStyle w:val="a1"/>
      </w:pPr>
      <w:bookmarkStart w:id="56" w:name="src_18"/>
      <w:r>
        <w:t>Синицын С. В. Верификация программного обеспечения / С. В. Синицын, Н. Ю. Налютин. – Москва : БИНОМ. Лаборатория знаний, 2008.</w:t>
      </w:r>
      <w:bookmarkEnd w:id="56"/>
    </w:p>
    <w:p w14:paraId="6204936C" w14:textId="77777777" w:rsidR="006E6AEF" w:rsidRDefault="00000000">
      <w:pPr>
        <w:pStyle w:val="a1"/>
      </w:pPr>
      <w:bookmarkStart w:id="57" w:name="src_19"/>
      <w:r>
        <w:t>Аббасов М. Э., Перегудин С. И., Шарлай А. С. Модели жизненного цикла программного обеспечения // Специальная техника и технологии транспорта. – 2022. – № 16. – С. 235–244.</w:t>
      </w:r>
      <w:bookmarkEnd w:id="57"/>
    </w:p>
    <w:p w14:paraId="64988ABF" w14:textId="77777777" w:rsidR="006E6AEF" w:rsidRDefault="00000000">
      <w:pPr>
        <w:pStyle w:val="a1"/>
      </w:pPr>
      <w:bookmarkStart w:id="58" w:name="src_20"/>
      <w:r>
        <w:t>Атрощенко Н. А. Качество программного продукта в ракурсе современных практических требований // Наука, техника и образование. – 2018. – Режим доступа: https://cyberleninka.ru/article/n/kachestvo-programmnogo-produkta-v-rakurse-sovremennyh-prakticheskih-trebovaniy. – Дата доступа: 26.09.2026.</w:t>
      </w:r>
      <w:bookmarkEnd w:id="58"/>
    </w:p>
    <w:p w14:paraId="4B0FAC89" w14:textId="77777777" w:rsidR="006E6AEF" w:rsidRDefault="00000000">
      <w:pPr>
        <w:pStyle w:val="a1"/>
      </w:pPr>
      <w:bookmarkStart w:id="59" w:name="src_21"/>
      <w:r>
        <w:t>Берг О. Ю. Метрики оценки качества программного обеспечения // Труды международного симпозиума «Надежность и качество». – 2005. – Т. 1. – С. 321–322.</w:t>
      </w:r>
      <w:bookmarkEnd w:id="59"/>
    </w:p>
    <w:p w14:paraId="335AD3DE" w14:textId="77777777" w:rsidR="006E6AEF" w:rsidRDefault="00000000">
      <w:pPr>
        <w:pStyle w:val="a1"/>
      </w:pPr>
      <w:bookmarkStart w:id="60" w:name="src_22"/>
      <w:r>
        <w:t>Берг О. Ю., Максюта С. В., Пилидии В. С. Задачи улучшения качества программных продуктов // Программные продукты и системы. – 2003. – № 3. – Режим доступа: https://cyberleninka.ru/article/n/zadachi-uluchsheniya-kachestva-programmnyh-produktov. – Дата доступа: 26.09.2026.</w:t>
      </w:r>
      <w:bookmarkEnd w:id="60"/>
    </w:p>
    <w:p w14:paraId="3E7ECC28" w14:textId="77777777" w:rsidR="006E6AEF" w:rsidRDefault="00000000">
      <w:pPr>
        <w:pStyle w:val="a1"/>
      </w:pPr>
      <w:bookmarkStart w:id="61" w:name="src_23"/>
      <w:r>
        <w:t>Бурдыко Т. Г., Бушмелева К. И. Методы оценки качества программных продуктов в вузе // Труды Международного симпозиума «Надежность и качество». – 2017. – Режим доступа: https://cyberleninka.ru/article/n/metody-otsenki-kachestva-programmnyh-produktov-v-vuze. – Дата доступа: 26.09.2026.</w:t>
      </w:r>
      <w:bookmarkEnd w:id="61"/>
    </w:p>
    <w:p w14:paraId="216AF293" w14:textId="77777777" w:rsidR="006E6AEF" w:rsidRDefault="00000000">
      <w:pPr>
        <w:pStyle w:val="a1"/>
      </w:pPr>
      <w:bookmarkStart w:id="62" w:name="src_24"/>
      <w:r>
        <w:t xml:space="preserve">Василенко Е. А., Мишура Л. Г. Экономический эффект от внедрения процедуры оценки качества программного обеспечения на малых предприятиях </w:t>
      </w:r>
      <w:r>
        <w:lastRenderedPageBreak/>
        <w:t>IT-сферы // Научный журнал НИУ ИТМО. Серия: Экономика и экологический менеджмент. – 2022. – № 2. – С. 152–159.</w:t>
      </w:r>
      <w:bookmarkEnd w:id="62"/>
    </w:p>
    <w:p w14:paraId="1EE8B54A" w14:textId="77777777" w:rsidR="006E6AEF" w:rsidRDefault="00000000">
      <w:pPr>
        <w:pStyle w:val="a1"/>
      </w:pPr>
      <w:bookmarkStart w:id="63" w:name="src_25"/>
      <w:r>
        <w:t>Гаджиев Р. Р. Автоматизация тестирования промышленного программного обеспечения // Вестник науки. – 2026. – Режим доступа: https://cyberleninka.ru/article/n/avtomatizatsiya-testirovaniya-promyshlennogo-programmnogo-obespecheniya. – Дата доступа: 26.09.2026.</w:t>
      </w:r>
      <w:bookmarkEnd w:id="63"/>
    </w:p>
    <w:p w14:paraId="607FA116" w14:textId="77777777" w:rsidR="006E6AEF" w:rsidRDefault="00000000">
      <w:pPr>
        <w:pStyle w:val="a1"/>
      </w:pPr>
      <w:bookmarkStart w:id="64" w:name="src_26"/>
      <w:r>
        <w:t>Гаранин И. В., Садковская Н. Е. Методы повышения качества разработки программного обеспечение на основе DoR и DoD // Качество и жизнь. – 2022. – № 3 (35). – С. 26–32.</w:t>
      </w:r>
      <w:bookmarkEnd w:id="64"/>
    </w:p>
    <w:p w14:paraId="1B53B497" w14:textId="77777777" w:rsidR="006E6AEF" w:rsidRDefault="00000000">
      <w:pPr>
        <w:pStyle w:val="a1"/>
      </w:pPr>
      <w:bookmarkStart w:id="65" w:name="src_27"/>
      <w:r>
        <w:t>Гмырин М. А. Роль тестирования в обеспечении качества программного обеспечения на этапах жизненного цикла разработки // Интернаука. – 2026. – № 20-2 (431). – С. 43–46.</w:t>
      </w:r>
      <w:bookmarkEnd w:id="65"/>
    </w:p>
    <w:p w14:paraId="7543D866" w14:textId="77777777" w:rsidR="006E6AEF" w:rsidRDefault="00000000">
      <w:pPr>
        <w:pStyle w:val="a1"/>
      </w:pPr>
      <w:bookmarkStart w:id="66" w:name="src_28"/>
      <w:r>
        <w:t>Годлевский М. Д., Шеховцов В. А., Брагинский И. Л. Принципы моделирования оценки и управления качеством процесса разработки программного обеспечения // Восточно-Европейский журнал передовых технологий. – 2012. – Режим доступа: https://cyberleninka.ru/article/n/printsipy-modelirovaniya-otsenki-i-upravleniya-kachestvom-protsessa-razrabotki-programmnogo-obespecheniya. – Дата доступа: 26.09.2026.</w:t>
      </w:r>
      <w:bookmarkEnd w:id="66"/>
    </w:p>
    <w:p w14:paraId="46D1AF33" w14:textId="77777777" w:rsidR="006E6AEF" w:rsidRDefault="00000000">
      <w:pPr>
        <w:pStyle w:val="a1"/>
      </w:pPr>
      <w:bookmarkStart w:id="67" w:name="src_29"/>
      <w:r>
        <w:t>Голосовский М. С. Модель жизненного цикла разработки программного обеспечения в рамках научно-исследовательских работ // Альманах современной науки и образования. – 2013. – № 4 (71). – С. 40–43.</w:t>
      </w:r>
      <w:bookmarkEnd w:id="67"/>
    </w:p>
    <w:p w14:paraId="753B11F6" w14:textId="77777777" w:rsidR="006E6AEF" w:rsidRDefault="00000000">
      <w:pPr>
        <w:pStyle w:val="a1"/>
      </w:pPr>
      <w:bookmarkStart w:id="68" w:name="src_30"/>
      <w:r>
        <w:t>Голосовский М. С. Сравнительный анализ моделей жизненного цикла программного обеспечения с различными способами организации потоков работ на основе результатов имитационного моделирования // Cloud of Science. – 2017. – Т. 4, № 4. – Режим доступа: https://cyberleninka.ru/article/n/sravnitelnyy-analiz-modeley-zhiznennogo-tsikla-programmnogo-obespecheniya-s-razlichnymi-sposobami-organizatsii-potokov-rabot-na-osnove. – Дата доступа: 26.09.2026.</w:t>
      </w:r>
      <w:bookmarkEnd w:id="68"/>
    </w:p>
    <w:p w14:paraId="762D13C8" w14:textId="77777777" w:rsidR="006E6AEF" w:rsidRDefault="00000000">
      <w:pPr>
        <w:pStyle w:val="a1"/>
      </w:pPr>
      <w:bookmarkStart w:id="69" w:name="src_31"/>
      <w:r>
        <w:t>Данилин А. О., Петрухнова Г. В. Формализация определения уровня качества программного обеспечения // Вестник Воронежского государственного технического университета. – 2014. – Режим доступа: https://cyberleninka.ru/article/n/formalizatsiya-opredeleniya-urovnya-kachestva-programmnogo-obespecheniya. – Дата доступа: 26.09.2026.</w:t>
      </w:r>
      <w:bookmarkEnd w:id="69"/>
    </w:p>
    <w:p w14:paraId="3A5CE4F4" w14:textId="77777777" w:rsidR="006E6AEF" w:rsidRDefault="00000000">
      <w:pPr>
        <w:pStyle w:val="a1"/>
      </w:pPr>
      <w:bookmarkStart w:id="70" w:name="src_32"/>
      <w:r>
        <w:t>Демиденко Д. С., Яковлева Е. А. Управление и модели затрат на качество // Научно-технические ведомости СПбПУ. Экономические науки. – 2013. – № 6 (185). – Режим доступа: https://economy.spbstu.ru/article/2013.44.13/. – Дата доступа: 26.09.2026.</w:t>
      </w:r>
      <w:bookmarkEnd w:id="70"/>
    </w:p>
    <w:p w14:paraId="18C843E1" w14:textId="77777777" w:rsidR="006E6AEF" w:rsidRDefault="00000000">
      <w:pPr>
        <w:pStyle w:val="a1"/>
      </w:pPr>
      <w:bookmarkStart w:id="71" w:name="src_33"/>
      <w:r>
        <w:t xml:space="preserve">Добрынин А. С., Койнов Р. С., Кулаков С. М. Модель неполного жизненного цикла программного обеспечения // Вестник Астраханского </w:t>
      </w:r>
      <w:r>
        <w:lastRenderedPageBreak/>
        <w:t>государственного технического университета. Серия: Управление, вычислительная техника и информатика. – 2015. – Режим доступа: https://cyberleninka.ru/article/n/model-nepolnogo-zhiznennogo-tsikla-programmnogo-obespecheniya. – Дата доступа: 26.09.2026.</w:t>
      </w:r>
      <w:bookmarkEnd w:id="71"/>
    </w:p>
    <w:p w14:paraId="55E0BD0B" w14:textId="77777777" w:rsidR="006E6AEF" w:rsidRDefault="00000000">
      <w:pPr>
        <w:pStyle w:val="a1"/>
      </w:pPr>
      <w:bookmarkStart w:id="72" w:name="src_34"/>
      <w:r>
        <w:t>Дорофеева О. С., Казаков Б. В., Казакова И. А. Метрики качества программного обеспечения // Новые информационные технологии и системы : сборник научных статей XII Международной научно-технической конференции. – 2015. – С. 109–111.</w:t>
      </w:r>
      <w:bookmarkEnd w:id="72"/>
    </w:p>
    <w:p w14:paraId="29C13294" w14:textId="77777777" w:rsidR="006E6AEF" w:rsidRDefault="00000000">
      <w:pPr>
        <w:pStyle w:val="a1"/>
      </w:pPr>
      <w:bookmarkStart w:id="73" w:name="src_35"/>
      <w:r>
        <w:t>Дрожкин А. А. Когнитивные карты как инструмент оценки качества программного обеспечения на основе требований стандартов // Вестник Российского экономического университета им. Г. В. Плеханова. – 2025. – Режим доступа: https://cyberleninka.ru/article/n/kognitivnye-karty-kak-instrument-otsenki-kachestva-programmnogo-obespecheniya-na-osnove-trebovaniy-standartov. – Дата доступа: 26.09.2026.</w:t>
      </w:r>
      <w:bookmarkEnd w:id="73"/>
    </w:p>
    <w:p w14:paraId="73BE1A99" w14:textId="77777777" w:rsidR="006E6AEF" w:rsidRDefault="00000000">
      <w:pPr>
        <w:pStyle w:val="a1"/>
      </w:pPr>
      <w:bookmarkStart w:id="74" w:name="src_36"/>
      <w:r>
        <w:t>Ивакин Я. А., Мичурин С. В. Результативность и качество программных комплексов ситуационного управления для автоматизированных систем диспетчеризации пространственных процессов авиатранспорта // Информационно-управляющие системы. – 2016. – Режим доступа: https://cyberleninka.ru/article/n/rezultativnost-i-kachestvo-programmnyh-kompleksov-situatsionnogo-upravleniya-dlya-avtomatizirovannyh-sistem-dispetcherizatsii. – Дата доступа: 26.09.2026.</w:t>
      </w:r>
      <w:bookmarkEnd w:id="74"/>
    </w:p>
    <w:p w14:paraId="5F0F60AF" w14:textId="77777777" w:rsidR="006E6AEF" w:rsidRDefault="00000000">
      <w:pPr>
        <w:pStyle w:val="a1"/>
      </w:pPr>
      <w:bookmarkStart w:id="75" w:name="src_37"/>
      <w:r>
        <w:t>Иванов М. Ю. Современные аспекты разработки программного обеспечения экономико-управленческих систем и процессов // Системы. Методы. Технологии. – 2013. – Режим доступа: https://cyberleninka.ru/article/n/sovremennye-aspekty-razrabotki-programmnogo-obespecheniya-ekonomiko-upravlencheskih-sistem-i-protsessov-1. – Дата доступа: 26.09.2026.</w:t>
      </w:r>
      <w:bookmarkEnd w:id="75"/>
    </w:p>
    <w:p w14:paraId="6BFCF236" w14:textId="77777777" w:rsidR="006E6AEF" w:rsidRDefault="00000000">
      <w:pPr>
        <w:pStyle w:val="a1"/>
      </w:pPr>
      <w:bookmarkStart w:id="76" w:name="src_38"/>
      <w:r>
        <w:t>Иванченко Е. М. Отличия понятий «управление качеством», «обеспечение качества» и «менеджмент качества» в сфере разработки программного обеспечения // Математическое моделирование и информационные технологии : материалы Всероссийской научной конференции с международным участием. – Сыктывкар, 2024. – С. 47–49.</w:t>
      </w:r>
      <w:bookmarkEnd w:id="76"/>
    </w:p>
    <w:p w14:paraId="61E4FD3F" w14:textId="77777777" w:rsidR="006E6AEF" w:rsidRDefault="00000000">
      <w:pPr>
        <w:pStyle w:val="a1"/>
      </w:pPr>
      <w:bookmarkStart w:id="77" w:name="src_39"/>
      <w:r>
        <w:t>Иксанова А. Х. Повышение эффективности управления инновационным процессом создания программного обеспечения с использованием модели разработки на заказ : автореф. дис. … канд. экон. наук / Государственный университет управления. – Москва, 2006.</w:t>
      </w:r>
      <w:bookmarkEnd w:id="77"/>
    </w:p>
    <w:p w14:paraId="28D44F00" w14:textId="77777777" w:rsidR="006E6AEF" w:rsidRDefault="00000000">
      <w:pPr>
        <w:pStyle w:val="a1"/>
      </w:pPr>
      <w:bookmarkStart w:id="78" w:name="src_40"/>
      <w:r>
        <w:t xml:space="preserve">Киселёв Н. А., Селиванов А. В. Применение технологий искусственного интеллекта для повышения эффективности разработки </w:t>
      </w:r>
      <w:r>
        <w:lastRenderedPageBreak/>
        <w:t>программного обеспечения в командах разработчиков // Электронное информационное пространство для науки, образования, культуры : материалы XI Международной научно-практической конференции : в 3 ч. – Орёл, 2024. – Ч. 2. – С. 169–174.</w:t>
      </w:r>
      <w:bookmarkEnd w:id="78"/>
    </w:p>
    <w:p w14:paraId="73E7892A" w14:textId="77777777" w:rsidR="006E6AEF" w:rsidRDefault="00000000">
      <w:pPr>
        <w:pStyle w:val="a1"/>
      </w:pPr>
      <w:bookmarkStart w:id="79" w:name="src_41"/>
      <w:r>
        <w:t>Клочков А. Е. Статистическое управление процессами (SPC) в АИСМК: алгоритм результативного внедрения // Методы менеджмента качества. – 2025. – № 5. – С. 24–29.</w:t>
      </w:r>
      <w:bookmarkEnd w:id="79"/>
    </w:p>
    <w:p w14:paraId="14860C1E" w14:textId="77777777" w:rsidR="006E6AEF" w:rsidRDefault="00000000">
      <w:pPr>
        <w:pStyle w:val="a1"/>
      </w:pPr>
      <w:bookmarkStart w:id="80" w:name="src_42"/>
      <w:r>
        <w:t>Князькова В. С. Развитие функционально-стоимостного анализа и особенности его применения при проектировании программных продуктов // π-Экономика. – 2022. – Т. 15, № 5. – С. 111–121. – Режим доступа: https://economy.spbstu.ru/article/2022.97.7/. – Дата доступа: 26.09.2026.</w:t>
      </w:r>
      <w:bookmarkEnd w:id="80"/>
    </w:p>
    <w:p w14:paraId="758B981D" w14:textId="77777777" w:rsidR="006E6AEF" w:rsidRDefault="00000000">
      <w:pPr>
        <w:pStyle w:val="a1"/>
      </w:pPr>
      <w:bookmarkStart w:id="81" w:name="src_43"/>
      <w:r>
        <w:t>Коваленко В. А. Использование формулы Байеса при оценивании качества программного обеспечения по стандарту ISO/IEC 9126 // Программные продукты и системы. – 2019. – Режим доступа: https://cyberleninka.ru/article/n/ispolzovanie-formuly-bayesa-pri-otsenivanii-kachestva-programmnogo-obespecheniya-po-standartu-iso-iec-9126. – Дата доступа: 26.09.2026.</w:t>
      </w:r>
      <w:bookmarkEnd w:id="81"/>
    </w:p>
    <w:p w14:paraId="075779BD" w14:textId="77777777" w:rsidR="006E6AEF" w:rsidRDefault="00000000">
      <w:pPr>
        <w:pStyle w:val="a1"/>
      </w:pPr>
      <w:bookmarkStart w:id="82" w:name="src_44"/>
      <w:r>
        <w:t>Козлова Ю. Д. Автоматизация тестирования как ключевой элемент системы обеспечения качества программного обеспечения // Международный журнал гуманитарных и естественных наук. – 2025. – Режим доступа: https://cyberleninka.ru/article/n/avtomatizatsiya-testirovaniya-kak-klyuchevoy-element-sistemy-obespecheniya-kachestva-programmnogo-obespecheniya. – Дата доступа: 26.09.2026.</w:t>
      </w:r>
      <w:bookmarkEnd w:id="82"/>
    </w:p>
    <w:p w14:paraId="41E5FC09" w14:textId="77777777" w:rsidR="006E6AEF" w:rsidRDefault="00000000">
      <w:pPr>
        <w:pStyle w:val="a1"/>
      </w:pPr>
      <w:bookmarkStart w:id="83" w:name="src_45"/>
      <w:r>
        <w:t>Кораблева Г. В., Ушаков А. Н. Анализ и совершенствование возможностей поддержки процессов управления качеством автоматизированными ERP-системами // Экономика и предпринимательство. – 2024. – № 5 (166). – С. 1088–1094.</w:t>
      </w:r>
      <w:bookmarkEnd w:id="83"/>
    </w:p>
    <w:p w14:paraId="2F02BDD6" w14:textId="77777777" w:rsidR="006E6AEF" w:rsidRDefault="00000000">
      <w:pPr>
        <w:pStyle w:val="a1"/>
      </w:pPr>
      <w:bookmarkStart w:id="84" w:name="src_46"/>
      <w:r>
        <w:t>Кузьмина Э. В., Пьянкова Н. Г. Совершенствование процесса управления проектом разработки программного продукта // Вестник Академии знаний. – 2024. – Режим доступа: https://cyberleninka.ru/article/n/sovershenstvovanie-protsessa-upravleniya-proektom-razrabotki-programmnogo-produkta. – Дата доступа: 26.09.2026.</w:t>
      </w:r>
      <w:bookmarkEnd w:id="84"/>
    </w:p>
    <w:p w14:paraId="1739890C" w14:textId="77777777" w:rsidR="006E6AEF" w:rsidRDefault="00000000">
      <w:pPr>
        <w:pStyle w:val="a1"/>
      </w:pPr>
      <w:bookmarkStart w:id="85" w:name="src_47"/>
      <w:r>
        <w:t>Куликова Е. В. Инструментальные средства информационной поддержки жизненного цикла программного обеспечения // Современные материалы, техника и технологии. – 2017. – Режим доступа: https://cyberleninka.ru/article/n/instrumentalnye-sredstva-informatsionnoy-podderzhki-zhiznennogo-tsikla-programmnogo-obespecheniya. – Дата доступа: 26.09.2026.</w:t>
      </w:r>
      <w:bookmarkEnd w:id="85"/>
    </w:p>
    <w:p w14:paraId="154B3DB8" w14:textId="77777777" w:rsidR="006E6AEF" w:rsidRDefault="00000000">
      <w:pPr>
        <w:pStyle w:val="a1"/>
      </w:pPr>
      <w:bookmarkStart w:id="86" w:name="src_48"/>
      <w:r>
        <w:lastRenderedPageBreak/>
        <w:t>Лагутин Я. А., Егорова О. Н. Комбинирование методологий разработки программного обеспечения как средство повышения эффективности работ по созданию программных продуктов // Информационные технологии в УИС. – 2020. – № 4. – С. 51–58.</w:t>
      </w:r>
      <w:bookmarkEnd w:id="86"/>
    </w:p>
    <w:p w14:paraId="028B83B4" w14:textId="77777777" w:rsidR="006E6AEF" w:rsidRDefault="00000000">
      <w:pPr>
        <w:pStyle w:val="a1"/>
      </w:pPr>
      <w:bookmarkStart w:id="87" w:name="src_49"/>
      <w:r>
        <w:t>Левина Т. А. Анализ условий использования инструментов менеджмента качества на примерах зарубежных организаций // Проблемы современной экономики (Новосибирск). – 2014. – Режим доступа: https://cyberleninka.ru/article/n/analiz-usloviy-ispolzovaniya-instrumentov-menedzhmenta-kachestva-na-primerah-zarubezhnyh-organizatsiy. – Дата доступа: 26.09.2026.</w:t>
      </w:r>
      <w:bookmarkEnd w:id="87"/>
    </w:p>
    <w:p w14:paraId="3D484B49" w14:textId="77777777" w:rsidR="006E6AEF" w:rsidRDefault="00000000">
      <w:pPr>
        <w:pStyle w:val="a1"/>
      </w:pPr>
      <w:bookmarkStart w:id="88" w:name="src_50"/>
      <w:r>
        <w:t>Масалимов Т. Р., Сайфуллина С. Ф. Анализ экономической эффективности внедрения автоматизированного тестирования при разработке программного обеспечения // Стратегии бизнеса. – 2023. – Режим доступа: https://cyberleninka.ru/article/n/analiz-ekonomicheskoy-effektivnosti-vnedreniya-avtomatizirovannogo-testirovaniya-pri-razrabotke-programmnogo-obespecheniya. – Дата доступа: 26.09.2026.</w:t>
      </w:r>
      <w:bookmarkEnd w:id="88"/>
    </w:p>
    <w:p w14:paraId="197D0086" w14:textId="77777777" w:rsidR="006E6AEF" w:rsidRDefault="00000000">
      <w:pPr>
        <w:pStyle w:val="a1"/>
      </w:pPr>
      <w:bookmarkStart w:id="89" w:name="src_51"/>
      <w:r>
        <w:t>Матчин В. Т., Рогов И. Е. Жизненный цикл программного обеспечения обучающих систем // Образовательные ресурсы и технологии. – 2020. – Режим доступа: https://cyberleninka.ru/article/n/zhiznennyy-tsikl-programmnogo-obespecheniya-obuchayuschih-sistem. – Дата доступа: 26.09.2026.</w:t>
      </w:r>
      <w:bookmarkEnd w:id="89"/>
    </w:p>
    <w:p w14:paraId="6B89C65B" w14:textId="77777777" w:rsidR="006E6AEF" w:rsidRDefault="00000000">
      <w:pPr>
        <w:pStyle w:val="a1"/>
      </w:pPr>
      <w:bookmarkStart w:id="90" w:name="src_52"/>
      <w:r>
        <w:t>Мейрманова Д. М. Процессы управления качеством программного обеспечения // Наука, образование и культура. – 2016. – Режим доступа: https://cyberleninka.ru/article/n/protsessy-upravleniya-kachestvom-programmnogo-obespecheniya. – Дата доступа: 26.09.2026.</w:t>
      </w:r>
      <w:bookmarkEnd w:id="90"/>
    </w:p>
    <w:p w14:paraId="1F8B7B4F" w14:textId="77777777" w:rsidR="006E6AEF" w:rsidRDefault="00000000">
      <w:pPr>
        <w:pStyle w:val="a1"/>
      </w:pPr>
      <w:bookmarkStart w:id="91" w:name="src_53"/>
      <w:r>
        <w:t>Наука и инновации // Национальный статистический комитет Республики Беларусь : официальный сайт. – Режим доступа: https://www.belstat.gov.by/ofitsialnaya-statistika/realny-sector-ekonomiki/nauka-i-innovatsii/. – Дата доступа: 26.09.2026.</w:t>
      </w:r>
      <w:bookmarkEnd w:id="91"/>
    </w:p>
    <w:p w14:paraId="45064F0E" w14:textId="77777777" w:rsidR="006E6AEF" w:rsidRDefault="00000000">
      <w:pPr>
        <w:pStyle w:val="a1"/>
      </w:pPr>
      <w:bookmarkStart w:id="92" w:name="src_54"/>
      <w:r>
        <w:t>Наука и инновационная деятельность в Республике Беларусь : статистический сборник / Национальный статистический комитет Республики Беларусь. – Минск, 2024. – 79 с. – Режим доступа: https://www.belstat.gov.by/upload/iblock/a25/8x5zbqv394lx93rgs2lvc9o7wo1ysgl3.pdf. – Дата доступа: 26.09.2026.</w:t>
      </w:r>
      <w:bookmarkEnd w:id="92"/>
    </w:p>
    <w:p w14:paraId="1E139F42" w14:textId="77777777" w:rsidR="006E6AEF" w:rsidRDefault="00000000">
      <w:pPr>
        <w:pStyle w:val="a1"/>
      </w:pPr>
      <w:bookmarkStart w:id="93" w:name="src_55"/>
      <w:r>
        <w:t>Огурешнов Р. О. Оценка надежности и качества программного обеспечения с применением технологии виртуальной реальности // Качество. Инновации. Образование. – 2022. – № 4 (180). – С. 12–16.</w:t>
      </w:r>
      <w:bookmarkEnd w:id="93"/>
    </w:p>
    <w:p w14:paraId="71D17247" w14:textId="77777777" w:rsidR="006E6AEF" w:rsidRDefault="00000000">
      <w:pPr>
        <w:pStyle w:val="a1"/>
      </w:pPr>
      <w:bookmarkStart w:id="94" w:name="src_56"/>
      <w:r>
        <w:lastRenderedPageBreak/>
        <w:t>Орлик С. В. Модели жизненных циклов программного обеспечения // Ученые записки Российского государственного социального университета. – 2011. – № 9-1 (97). – С. 234–239.</w:t>
      </w:r>
      <w:bookmarkEnd w:id="94"/>
    </w:p>
    <w:p w14:paraId="0B19FCB1" w14:textId="77777777" w:rsidR="006E6AEF" w:rsidRDefault="00000000">
      <w:pPr>
        <w:pStyle w:val="a1"/>
      </w:pPr>
      <w:bookmarkStart w:id="95" w:name="src_57"/>
      <w:r>
        <w:t>Парамзина А. А., Тищенко Е. Н. Качество программного обеспечения // Экономика и социум. – 2022. – Режим доступа: https://cyberleninka.ru/article/n/kachestvo-programmnogo-obespecheniya. – Дата доступа: 26.09.2026.</w:t>
      </w:r>
      <w:bookmarkEnd w:id="95"/>
    </w:p>
    <w:p w14:paraId="7EFFBF2E" w14:textId="77777777" w:rsidR="006E6AEF" w:rsidRDefault="00000000">
      <w:pPr>
        <w:pStyle w:val="a1"/>
      </w:pPr>
      <w:bookmarkStart w:id="96" w:name="src_58"/>
      <w:r>
        <w:t>Плотников А. Н., Плотников Д. А., Опанасенко И. А. Существующие стандарты оценки качества технологий разработки программного обеспечения // Вестник Саратовского государственного технического университета. – 2013. – Режим доступа: https://cyberleninka.ru/article/n/suschestvuyuschie-standarty-otsenki-kachestva-tehnologiy-razrabotki-programmnogo-obespecheniya. – Дата доступа: 26.09.2026.</w:t>
      </w:r>
      <w:bookmarkEnd w:id="96"/>
    </w:p>
    <w:p w14:paraId="34564059" w14:textId="77777777" w:rsidR="006E6AEF" w:rsidRDefault="00000000">
      <w:pPr>
        <w:pStyle w:val="a1"/>
      </w:pPr>
      <w:bookmarkStart w:id="97" w:name="src_59"/>
      <w:r>
        <w:t>Разумов-Раздолов К. Л. Перспективы интеграции инструментов менеджмента качества и качества менеджмента // Научный результат. Экономические исследования. – 2016. – Режим доступа: https://cyberleninka.ru/article/n/perspektivy-integratsii-instrumentov-menedzhmenta-kachestva-i-kachestva-menedzhmenta. – Дата доступа: 26.09.2026.</w:t>
      </w:r>
      <w:bookmarkEnd w:id="97"/>
    </w:p>
    <w:p w14:paraId="6BEF5AE4" w14:textId="77777777" w:rsidR="006E6AEF" w:rsidRDefault="00000000">
      <w:pPr>
        <w:pStyle w:val="a1"/>
      </w:pPr>
      <w:bookmarkStart w:id="98" w:name="src_60"/>
      <w:r>
        <w:t>Рындина А. С. Оценка эффективности разработки программного обеспечения с помощью KPI-метода // Colloquium-journal. – 2019. – № 23-2 (47). – С. 54–57.</w:t>
      </w:r>
      <w:bookmarkEnd w:id="98"/>
    </w:p>
    <w:p w14:paraId="587EBE62" w14:textId="77777777" w:rsidR="006E6AEF" w:rsidRDefault="00000000">
      <w:pPr>
        <w:pStyle w:val="a1"/>
      </w:pPr>
      <w:bookmarkStart w:id="99" w:name="src_61"/>
      <w:r>
        <w:t>Савич Е. К. Цифровой инструментарий управления качеством на этапах жизненного цикла продукции // Омский научный вестник. – 2025. – № 3 (195). – С. 19–26.</w:t>
      </w:r>
      <w:bookmarkEnd w:id="99"/>
    </w:p>
    <w:p w14:paraId="115AA2A0" w14:textId="77777777" w:rsidR="006E6AEF" w:rsidRDefault="00000000">
      <w:pPr>
        <w:pStyle w:val="a1"/>
      </w:pPr>
      <w:bookmarkStart w:id="100" w:name="src_62"/>
      <w:r>
        <w:t>Смирнов А. В. Модель автоматизированного управления качеством программного обеспечения // Современное программирование : материалы I Международной научно-практической конференции. – 2018. – С. 135–139.</w:t>
      </w:r>
      <w:bookmarkEnd w:id="100"/>
    </w:p>
    <w:p w14:paraId="5D1D929D" w14:textId="77777777" w:rsidR="006E6AEF" w:rsidRDefault="00000000">
      <w:pPr>
        <w:pStyle w:val="a1"/>
      </w:pPr>
      <w:bookmarkStart w:id="101" w:name="src_63"/>
      <w:r>
        <w:t>Степович-Цветкова Г. С. Применение системных принципов в управлении качеством программных продуктов // Инженерный вестник Дона. – 2015. – Режим доступа: https://cyberleninka.ru/article/n/primenenie-sistemnyh-printsipov-v-upravlenii-kachestvom-programmnyh-produktov. – Дата доступа: 26.09.2026.</w:t>
      </w:r>
      <w:bookmarkEnd w:id="101"/>
    </w:p>
    <w:p w14:paraId="528E7D9B" w14:textId="77777777" w:rsidR="006E6AEF" w:rsidRDefault="00000000">
      <w:pPr>
        <w:pStyle w:val="a1"/>
      </w:pPr>
      <w:bookmarkStart w:id="102" w:name="src_64"/>
      <w:r>
        <w:t>Струбалин П. В., Фатьянова А. А. Управление качеством программного обеспечения // Промышленность: экономика, управление, технологии. – 2019. – № 2 (76). – Режим доступа: https://cyberleninka.ru/article/n/upravlenie-kachestvom-programmnogo-obespecheniya. – Дата доступа: 26.09.2026.</w:t>
      </w:r>
      <w:bookmarkEnd w:id="102"/>
    </w:p>
    <w:p w14:paraId="3F7584B7" w14:textId="77777777" w:rsidR="006E6AEF" w:rsidRDefault="00000000">
      <w:pPr>
        <w:pStyle w:val="a1"/>
      </w:pPr>
      <w:bookmarkStart w:id="103" w:name="src_65"/>
      <w:r>
        <w:lastRenderedPageBreak/>
        <w:t>Тиханычев О. В. Об уточнении парадигмы контроля качества программных продуктов // Программные системы и вычислительные методы. – 2022. – Режим доступа: https://cyberleninka.ru/article/n/ob-utochnenii-paradigmy-kontrolya-kachestva-programmnyh-produktov. – Дата доступа: 26.09.2026.</w:t>
      </w:r>
      <w:bookmarkEnd w:id="103"/>
    </w:p>
    <w:p w14:paraId="1A713F6B" w14:textId="77777777" w:rsidR="006E6AEF" w:rsidRDefault="00000000">
      <w:pPr>
        <w:pStyle w:val="a1"/>
      </w:pPr>
      <w:bookmarkStart w:id="104" w:name="src_66"/>
      <w:r>
        <w:t>Филяков Л. Е. Факторы роста эффективности компаний в сфере разработки программного обеспечения на фоне технологических сдвигов // Финансовые рынки и банки. – 2026. – № 4. – С. 186–188.</w:t>
      </w:r>
      <w:bookmarkEnd w:id="104"/>
    </w:p>
    <w:p w14:paraId="059AA4AC" w14:textId="77777777" w:rsidR="006E6AEF" w:rsidRDefault="00000000">
      <w:pPr>
        <w:pStyle w:val="a1"/>
      </w:pPr>
      <w:bookmarkStart w:id="105" w:name="src_67"/>
      <w:r>
        <w:t>Хамитов Р. М., Шорина Т. В. Аспекты обеспечения качества программных продуктов // Научно-технический вестник Поволжья. – 2023. – № 12. – С. 625–627.</w:t>
      </w:r>
      <w:bookmarkEnd w:id="105"/>
    </w:p>
    <w:p w14:paraId="18AC01D3" w14:textId="77777777" w:rsidR="006E6AEF" w:rsidRDefault="00000000">
      <w:pPr>
        <w:pStyle w:val="a1"/>
      </w:pPr>
      <w:bookmarkStart w:id="106" w:name="src_68"/>
      <w:r>
        <w:t>Царев Ю. В., Сильянова Е. Ф., Кисельников С. А. Особенности ручного и автоматизированного тестирования программного обеспечения // Вестник науки. – 2021. – Режим доступа: https://cyberleninka.ru/article/n/osobennosti-ruchnogo-i-avtomatizirovannogo-testirovaniya-programmnogo-obespecheniya. – Дата доступа: 26.09.2026.</w:t>
      </w:r>
      <w:bookmarkEnd w:id="106"/>
    </w:p>
    <w:p w14:paraId="19CEBCFE" w14:textId="77777777" w:rsidR="006E6AEF" w:rsidRDefault="00000000">
      <w:pPr>
        <w:pStyle w:val="a1"/>
      </w:pPr>
      <w:bookmarkStart w:id="107" w:name="src_69"/>
      <w:r>
        <w:t>Чумакова Т. Я., Цыганенко С. М. Международные стандарты и жизненные циклы программного обеспечения // Математические машины и системы. – 2009. – Режим доступа: https://cyberleninka.ru/article/n/mezhdunarodnye-standarty-i-zhiznennye-tsikly-programmnogo-obespecheniya. – Дата доступа: 26.09.2026.</w:t>
      </w:r>
      <w:bookmarkEnd w:id="107"/>
    </w:p>
    <w:p w14:paraId="2B351EBD" w14:textId="77777777" w:rsidR="006E6AEF" w:rsidRDefault="00000000">
      <w:pPr>
        <w:pStyle w:val="a1"/>
      </w:pPr>
      <w:bookmarkStart w:id="108" w:name="src_70"/>
      <w:r>
        <w:t>Чумакова Т. Я., Цыганенко С. М. Построение модели качества программного обеспечения // Математические машины и системы. – 2009. – Режим доступа: https://cyberleninka.ru/article/n/postroenie-modeli-kachestva-programmnogo-obespecheniya. – Дата доступа: 26.09.2026.</w:t>
      </w:r>
      <w:bookmarkEnd w:id="108"/>
    </w:p>
    <w:p w14:paraId="2FE8F08F" w14:textId="77777777" w:rsidR="006E6AEF" w:rsidRDefault="00000000">
      <w:pPr>
        <w:pStyle w:val="a1"/>
      </w:pPr>
      <w:bookmarkStart w:id="109" w:name="src_71"/>
      <w:r>
        <w:t>Шереметьева Е. Н., Зарецкий И. С. Стратегическое обеспечение управления жизненным циклом интеллектуального программного продукта // Региональная экономика: теория и практика. – 2026. – Т. 24, № 5. – С. 142–158.</w:t>
      </w:r>
      <w:bookmarkEnd w:id="109"/>
    </w:p>
    <w:p w14:paraId="166164C2" w14:textId="77777777" w:rsidR="006E6AEF" w:rsidRDefault="00000000">
      <w:pPr>
        <w:pStyle w:val="a1"/>
      </w:pPr>
      <w:bookmarkStart w:id="110" w:name="src_72"/>
      <w:r>
        <w:t>Шеховцов В. А., Годлевский М. Д., Брагинский И. Л. Оценка и управление качеством процесса разработки программного обеспечения на основе моделей зрелости // Восточно-Европейский журнал передовых технологий. – 2011. – Режим доступа: https://cyberleninka.ru/article/n/otsenka-i-upravlenie-kachestvom-protsessa-razrabotki-programmnogo-obespecheniya-na-osnove-modeley-zrelosti. – Дата доступа: 26.09.2026.</w:t>
      </w:r>
      <w:bookmarkEnd w:id="110"/>
    </w:p>
    <w:p w14:paraId="316332E8" w14:textId="77777777" w:rsidR="006E6AEF" w:rsidRDefault="00000000">
      <w:pPr>
        <w:pStyle w:val="a1"/>
      </w:pPr>
      <w:bookmarkStart w:id="111" w:name="src_73"/>
      <w:r>
        <w:t>Шихмырадов М. А., Сейидов Ф. Ш., Хайдаров Г. О., Ходжамаммедов М. М. Влияние искусственного интеллекта на автоматизацию тестирования программного обеспечения // IN SITU. – 2025. – Режим доступа: https://cyberleninka.ru/article/n/vliyanie-iskusstvennogo-intellekta-na-</w:t>
      </w:r>
      <w:r>
        <w:lastRenderedPageBreak/>
        <w:t>avtomatizatsiyu-testirovaniya-programmnogo-obespecheniya. – Дата доступа: 26.09.2026.</w:t>
      </w:r>
      <w:bookmarkEnd w:id="111"/>
    </w:p>
    <w:p w14:paraId="45A4AC3F" w14:textId="77777777" w:rsidR="006E6AEF" w:rsidRDefault="00000000">
      <w:pPr>
        <w:pStyle w:val="a1"/>
      </w:pPr>
      <w:bookmarkStart w:id="112" w:name="src_74"/>
      <w:r>
        <w:t>Шульга Т. Э., Храмов Д. Э. Алгоритмы оценки продолжительности жизненного цикла программного обеспечения // Математические методы в технологиях и технике. – 2024. – № 1. – С. 94–97.</w:t>
      </w:r>
      <w:bookmarkEnd w:id="112"/>
    </w:p>
    <w:p w14:paraId="5970CF0B" w14:textId="77777777" w:rsidR="006E6AEF" w:rsidRDefault="00000000">
      <w:pPr>
        <w:pStyle w:val="a1"/>
      </w:pPr>
      <w:bookmarkStart w:id="113" w:name="src_75"/>
      <w:r>
        <w:t>Шульга Т. Э., Храмов Д. Э. Онтология жизненного цикла разработки программного обеспечения // Вестник Астраханского государственного технического университета. Серия: Управление, вычислительная техника и информатика. – 2023. – № 2. – С. 66–74.</w:t>
      </w:r>
      <w:bookmarkEnd w:id="113"/>
    </w:p>
    <w:p w14:paraId="57C3B0E3" w14:textId="77777777" w:rsidR="006E6AEF" w:rsidRDefault="00000000">
      <w:pPr>
        <w:pStyle w:val="a1"/>
      </w:pPr>
      <w:bookmarkStart w:id="114" w:name="src_76"/>
      <w:r>
        <w:t>Юрьев В. Н. Оценка качества и конкурентоспособности программных продуктов // Прикладная информатика. – 2013. – Режим доступа: https://cyberleninka.ru/article/n/otsenka-kachestva-i-konkurentosposobnosti-programmnyh-produktov. – Дата доступа: 26.09.2026.</w:t>
      </w:r>
      <w:bookmarkEnd w:id="114"/>
    </w:p>
    <w:p w14:paraId="0965D0C8" w14:textId="77777777" w:rsidR="006E6AEF" w:rsidRPr="003F222F" w:rsidRDefault="00000000">
      <w:pPr>
        <w:pStyle w:val="a1"/>
        <w:rPr>
          <w:lang w:val="en-US"/>
        </w:rPr>
      </w:pPr>
      <w:bookmarkStart w:id="115" w:name="src_77"/>
      <w:r w:rsidRPr="003F222F">
        <w:rPr>
          <w:lang w:val="en-US"/>
        </w:rPr>
        <w:t xml:space="preserve">Accelerate State of DevOps Report 2024 / DORA, Google Cloud. – 2024. – </w:t>
      </w:r>
      <w:r>
        <w:t>Режим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 xml:space="preserve">: https://dora.dev/research/2024/dora-report/. – </w:t>
      </w:r>
      <w:r>
        <w:t>Дата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>: 26.09.2026.</w:t>
      </w:r>
      <w:bookmarkEnd w:id="115"/>
    </w:p>
    <w:p w14:paraId="220733BE" w14:textId="77777777" w:rsidR="006E6AEF" w:rsidRPr="003F222F" w:rsidRDefault="00000000">
      <w:pPr>
        <w:pStyle w:val="a1"/>
        <w:rPr>
          <w:lang w:val="en-US"/>
        </w:rPr>
      </w:pPr>
      <w:bookmarkStart w:id="116" w:name="src_78"/>
      <w:r w:rsidRPr="003F222F">
        <w:rPr>
          <w:lang w:val="en-US"/>
        </w:rPr>
        <w:t>Basili V. R., Caldiera G., Rombach H. D. The Goal Question Metric Approach // Encyclopedia of Software Engineering / ed. by J. J. Marciniak. – New York : Wiley, 1994. – P. 528–532.</w:t>
      </w:r>
      <w:bookmarkEnd w:id="116"/>
    </w:p>
    <w:p w14:paraId="0958C483" w14:textId="77777777" w:rsidR="006E6AEF" w:rsidRPr="003F222F" w:rsidRDefault="00000000">
      <w:pPr>
        <w:pStyle w:val="a1"/>
        <w:rPr>
          <w:lang w:val="en-US"/>
        </w:rPr>
      </w:pPr>
      <w:bookmarkStart w:id="117" w:name="src_79"/>
      <w:r w:rsidRPr="003F222F">
        <w:rPr>
          <w:lang w:val="en-US"/>
        </w:rPr>
        <w:t xml:space="preserve">Beck K., Beedle M., van Bennekum A. et al. Manifesto for Agile Software Development. – 2001. – </w:t>
      </w:r>
      <w:r>
        <w:t>Режим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 xml:space="preserve">: https://agilemanifesto.org. – </w:t>
      </w:r>
      <w:r>
        <w:t>Дата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>: 26.09.2026.</w:t>
      </w:r>
      <w:bookmarkEnd w:id="117"/>
    </w:p>
    <w:p w14:paraId="2D7789D1" w14:textId="77777777" w:rsidR="006E6AEF" w:rsidRPr="003F222F" w:rsidRDefault="00000000">
      <w:pPr>
        <w:pStyle w:val="a1"/>
        <w:rPr>
          <w:lang w:val="en-US"/>
        </w:rPr>
      </w:pPr>
      <w:bookmarkStart w:id="118" w:name="src_80"/>
      <w:r w:rsidRPr="003F222F">
        <w:rPr>
          <w:lang w:val="en-US"/>
        </w:rPr>
        <w:t xml:space="preserve">Becker J., Rush N., Barnes E., Rein D. Measuring the Impact of Early-2025 AI on Experienced Open-Source Developer Productivity / METR. – 2025. – </w:t>
      </w:r>
      <w:r>
        <w:t>Режим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 xml:space="preserve">: https://metr.org/blog/2025-07-10-early-2025-ai-experienced-os-dev-study/. – </w:t>
      </w:r>
      <w:r>
        <w:t>Дата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>: 26.09.2026.</w:t>
      </w:r>
      <w:bookmarkEnd w:id="118"/>
    </w:p>
    <w:p w14:paraId="5DEEE18E" w14:textId="77777777" w:rsidR="006E6AEF" w:rsidRPr="003F222F" w:rsidRDefault="00000000">
      <w:pPr>
        <w:pStyle w:val="a1"/>
        <w:rPr>
          <w:lang w:val="en-US"/>
        </w:rPr>
      </w:pPr>
      <w:bookmarkStart w:id="119" w:name="src_81"/>
      <w:r w:rsidRPr="003F222F">
        <w:rPr>
          <w:lang w:val="en-US"/>
        </w:rPr>
        <w:t>Boehm B., Turner R. Balancing Agility and Discipline: A Guide for the Perplexed / B. Boehm, R. Turner. – Boston : Addison-Wesley, 2004.</w:t>
      </w:r>
      <w:bookmarkEnd w:id="119"/>
    </w:p>
    <w:p w14:paraId="304FDB21" w14:textId="77777777" w:rsidR="006E6AEF" w:rsidRPr="003F222F" w:rsidRDefault="00000000">
      <w:pPr>
        <w:pStyle w:val="a1"/>
        <w:rPr>
          <w:lang w:val="en-US"/>
        </w:rPr>
      </w:pPr>
      <w:bookmarkStart w:id="120" w:name="src_82"/>
      <w:r w:rsidRPr="003F222F">
        <w:rPr>
          <w:lang w:val="en-US"/>
        </w:rPr>
        <w:t>Boehm B. W. Software Engineering Economics / B. W. Boehm. – Englewood Cliffs : Prentice-Hall, 1981. – 767 p.</w:t>
      </w:r>
      <w:bookmarkEnd w:id="120"/>
    </w:p>
    <w:p w14:paraId="029652F7" w14:textId="77777777" w:rsidR="006E6AEF" w:rsidRPr="003F222F" w:rsidRDefault="00000000">
      <w:pPr>
        <w:pStyle w:val="a1"/>
        <w:rPr>
          <w:lang w:val="en-US"/>
        </w:rPr>
      </w:pPr>
      <w:bookmarkStart w:id="121" w:name="src_83"/>
      <w:r w:rsidRPr="003F222F">
        <w:rPr>
          <w:lang w:val="en-US"/>
        </w:rPr>
        <w:t>Deming W. E. Out of the Crisis / W. E. Deming. – Cambridge : MIT Press, 1986. – 507 p.</w:t>
      </w:r>
      <w:bookmarkEnd w:id="121"/>
    </w:p>
    <w:p w14:paraId="5BF97644" w14:textId="77777777" w:rsidR="006E6AEF" w:rsidRPr="003F222F" w:rsidRDefault="00000000">
      <w:pPr>
        <w:pStyle w:val="a1"/>
        <w:rPr>
          <w:lang w:val="en-US"/>
        </w:rPr>
      </w:pPr>
      <w:bookmarkStart w:id="122" w:name="src_84"/>
      <w:r w:rsidRPr="003F222F">
        <w:rPr>
          <w:lang w:val="en-US"/>
        </w:rPr>
        <w:t>Fenton N. E., Bieman J. Software Metrics: A Rigorous and Practical Approach / N. E. Fenton, J. Bieman. – 3rd ed. – Boca Raton : CRC Press, 2015.</w:t>
      </w:r>
      <w:bookmarkEnd w:id="122"/>
    </w:p>
    <w:p w14:paraId="0C3AF2D0" w14:textId="77777777" w:rsidR="006E6AEF" w:rsidRPr="003F222F" w:rsidRDefault="00000000">
      <w:pPr>
        <w:pStyle w:val="a1"/>
        <w:rPr>
          <w:lang w:val="en-US"/>
        </w:rPr>
      </w:pPr>
      <w:bookmarkStart w:id="123" w:name="src_85"/>
      <w:r w:rsidRPr="003F222F">
        <w:rPr>
          <w:lang w:val="en-US"/>
        </w:rPr>
        <w:t>Forsgren N., Humble J., Kim G. Accelerate: The Science of Lean Software and DevOps / N. Forsgren, J. Humble, G. Kim. – Portland : IT Revolution Press, 2018.</w:t>
      </w:r>
      <w:bookmarkEnd w:id="123"/>
    </w:p>
    <w:p w14:paraId="4C81D374" w14:textId="77777777" w:rsidR="006E6AEF" w:rsidRPr="003F222F" w:rsidRDefault="00000000">
      <w:pPr>
        <w:pStyle w:val="a1"/>
        <w:rPr>
          <w:lang w:val="en-US"/>
        </w:rPr>
      </w:pPr>
      <w:bookmarkStart w:id="124" w:name="src_86"/>
      <w:r w:rsidRPr="003F222F">
        <w:rPr>
          <w:lang w:val="en-US"/>
        </w:rPr>
        <w:t>Galin D. Software Quality Assurance: From Theory to Implementation / D. Galin. – Harlow : Pearson, 2004.</w:t>
      </w:r>
      <w:bookmarkEnd w:id="124"/>
    </w:p>
    <w:p w14:paraId="2B99E454" w14:textId="77777777" w:rsidR="006E6AEF" w:rsidRPr="003F222F" w:rsidRDefault="00000000">
      <w:pPr>
        <w:pStyle w:val="a1"/>
        <w:rPr>
          <w:lang w:val="en-US"/>
        </w:rPr>
      </w:pPr>
      <w:bookmarkStart w:id="125" w:name="src_87"/>
      <w:r w:rsidRPr="003F222F">
        <w:rPr>
          <w:lang w:val="en-US"/>
        </w:rPr>
        <w:lastRenderedPageBreak/>
        <w:t xml:space="preserve">Guide to the Software Engineering Body of Knowledge (SWEBOK Guide) : Version 4.0 / IEEE Computer Society. – Los Alamitos : IEEE, 2024. – </w:t>
      </w:r>
      <w:r>
        <w:t>Режим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 xml:space="preserve">: https://swebok.ieee.org. – </w:t>
      </w:r>
      <w:r>
        <w:t>Дата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>: 26.09.2026.</w:t>
      </w:r>
      <w:bookmarkEnd w:id="125"/>
    </w:p>
    <w:p w14:paraId="49D94687" w14:textId="77777777" w:rsidR="006E6AEF" w:rsidRPr="003F222F" w:rsidRDefault="00000000">
      <w:pPr>
        <w:pStyle w:val="a1"/>
        <w:rPr>
          <w:lang w:val="en-US"/>
        </w:rPr>
      </w:pPr>
      <w:bookmarkStart w:id="126" w:name="src_88"/>
      <w:r w:rsidRPr="003F222F">
        <w:rPr>
          <w:lang w:val="en-US"/>
        </w:rPr>
        <w:t>Hou X., Zhao Y., Liu Y. et al. Large Language Models for Software Engineering: A Systematic Literature Review // ACM Transactions on Software Engineering and Methodology. – 2024. – Vol. 33, No. 8. – P. 1–79. – DOI 10.1145/3695988.</w:t>
      </w:r>
      <w:bookmarkEnd w:id="126"/>
    </w:p>
    <w:p w14:paraId="2F7384FB" w14:textId="77777777" w:rsidR="006E6AEF" w:rsidRPr="003F222F" w:rsidRDefault="00000000">
      <w:pPr>
        <w:pStyle w:val="a1"/>
        <w:rPr>
          <w:lang w:val="en-US"/>
        </w:rPr>
      </w:pPr>
      <w:bookmarkStart w:id="127" w:name="src_89"/>
      <w:r w:rsidRPr="003F222F">
        <w:rPr>
          <w:lang w:val="en-US"/>
        </w:rPr>
        <w:t>Humphrey W. S. Managing the Software Process / W. S. Humphrey. – Reading : Addison-Wesley, 1989.</w:t>
      </w:r>
      <w:bookmarkEnd w:id="127"/>
    </w:p>
    <w:p w14:paraId="7DC16626" w14:textId="77777777" w:rsidR="006E6AEF" w:rsidRPr="003F222F" w:rsidRDefault="00000000">
      <w:pPr>
        <w:pStyle w:val="a1"/>
        <w:rPr>
          <w:lang w:val="en-US"/>
        </w:rPr>
      </w:pPr>
      <w:bookmarkStart w:id="128" w:name="src_90"/>
      <w:r w:rsidRPr="003F222F">
        <w:rPr>
          <w:lang w:val="en-US"/>
        </w:rPr>
        <w:t>Humble J., Farley D. Continuous Delivery: Reliable Software Releases through Build, Test, and Deployment Automation / J. Humble, D. Farley. – Boston : Addison-Wesley, 2010.</w:t>
      </w:r>
      <w:bookmarkEnd w:id="128"/>
    </w:p>
    <w:p w14:paraId="7F78BF41" w14:textId="77777777" w:rsidR="006E6AEF" w:rsidRPr="003F222F" w:rsidRDefault="00000000">
      <w:pPr>
        <w:pStyle w:val="a1"/>
        <w:rPr>
          <w:lang w:val="en-US"/>
        </w:rPr>
      </w:pPr>
      <w:bookmarkStart w:id="129" w:name="src_91"/>
      <w:r w:rsidRPr="003F222F">
        <w:rPr>
          <w:lang w:val="en-US"/>
        </w:rPr>
        <w:t>Ishikawa K. What is Total Quality Control? The Japanese Way / K. Ishikawa. – Englewood Cliffs : Prentice-Hall, 1985.</w:t>
      </w:r>
      <w:bookmarkEnd w:id="129"/>
    </w:p>
    <w:p w14:paraId="564E1FC4" w14:textId="77777777" w:rsidR="006E6AEF" w:rsidRPr="003F222F" w:rsidRDefault="00000000">
      <w:pPr>
        <w:pStyle w:val="a1"/>
        <w:rPr>
          <w:lang w:val="en-US"/>
        </w:rPr>
      </w:pPr>
      <w:bookmarkStart w:id="130" w:name="src_92"/>
      <w:r w:rsidRPr="003F222F">
        <w:rPr>
          <w:lang w:val="en-US"/>
        </w:rPr>
        <w:t>ISO 9001:2015. Quality management systems – Requirements. – Geneva : International Organization for Standardization, 2015.</w:t>
      </w:r>
      <w:bookmarkEnd w:id="130"/>
    </w:p>
    <w:p w14:paraId="0E25857D" w14:textId="77777777" w:rsidR="006E6AEF" w:rsidRPr="003F222F" w:rsidRDefault="00000000">
      <w:pPr>
        <w:pStyle w:val="a1"/>
        <w:rPr>
          <w:lang w:val="en-US"/>
        </w:rPr>
      </w:pPr>
      <w:bookmarkStart w:id="131" w:name="src_93"/>
      <w:r w:rsidRPr="003F222F">
        <w:rPr>
          <w:lang w:val="en-US"/>
        </w:rPr>
        <w:t>ISO/IEC 25010:2023. Systems and software engineering – Systems and software Quality Requirements and Evaluation (SQuaRE) – Product quality models. – Geneva : International Organization for Standardization, 2023.</w:t>
      </w:r>
      <w:bookmarkEnd w:id="131"/>
    </w:p>
    <w:p w14:paraId="507EB35F" w14:textId="77777777" w:rsidR="006E6AEF" w:rsidRPr="003F222F" w:rsidRDefault="00000000">
      <w:pPr>
        <w:pStyle w:val="a1"/>
        <w:rPr>
          <w:lang w:val="en-US"/>
        </w:rPr>
      </w:pPr>
      <w:bookmarkStart w:id="132" w:name="src_94"/>
      <w:r w:rsidRPr="003F222F">
        <w:rPr>
          <w:lang w:val="en-US"/>
        </w:rPr>
        <w:t>ISO/IEC/IEEE 12207:2017. Systems and software engineering – Software life cycle processes. – Geneva : International Organization for Standardization, 2017.</w:t>
      </w:r>
      <w:bookmarkEnd w:id="132"/>
    </w:p>
    <w:p w14:paraId="27B42EBC" w14:textId="77777777" w:rsidR="006E6AEF" w:rsidRPr="003F222F" w:rsidRDefault="00000000">
      <w:pPr>
        <w:pStyle w:val="a1"/>
        <w:rPr>
          <w:lang w:val="en-US"/>
        </w:rPr>
      </w:pPr>
      <w:bookmarkStart w:id="133" w:name="src_95"/>
      <w:r w:rsidRPr="003F222F">
        <w:rPr>
          <w:lang w:val="en-US"/>
        </w:rPr>
        <w:t>Juran J. M., Godfrey A. B. Juran's Quality Handbook / J. M. Juran, A. B. Godfrey. – 5th ed. – New York : McGraw-Hill, 1999.</w:t>
      </w:r>
      <w:bookmarkEnd w:id="133"/>
    </w:p>
    <w:p w14:paraId="4671B95D" w14:textId="77777777" w:rsidR="006E6AEF" w:rsidRPr="003F222F" w:rsidRDefault="00000000">
      <w:pPr>
        <w:pStyle w:val="a1"/>
        <w:rPr>
          <w:lang w:val="en-US"/>
        </w:rPr>
      </w:pPr>
      <w:bookmarkStart w:id="134" w:name="src_96"/>
      <w:r w:rsidRPr="003F222F">
        <w:rPr>
          <w:lang w:val="en-US"/>
        </w:rPr>
        <w:t>Kan S. H. Metrics and Models in Software Quality Engineering / S. H. Kan. – 2nd ed. – Boston : Addison-Wesley, 2002.</w:t>
      </w:r>
      <w:bookmarkEnd w:id="134"/>
    </w:p>
    <w:p w14:paraId="13E1012D" w14:textId="77777777" w:rsidR="006E6AEF" w:rsidRPr="003F222F" w:rsidRDefault="00000000">
      <w:pPr>
        <w:pStyle w:val="a1"/>
        <w:rPr>
          <w:lang w:val="en-US"/>
        </w:rPr>
      </w:pPr>
      <w:bookmarkStart w:id="135" w:name="src_97"/>
      <w:r w:rsidRPr="003F222F">
        <w:rPr>
          <w:lang w:val="en-US"/>
        </w:rPr>
        <w:t>Kitchenham B., Charters S. Guidelines for Performing Systematic Literature Reviews in Software Engineering : Technical Report EBSE-2007-01 / B. Kitchenham, S. Charters. – Keele : Keele University, 2007.</w:t>
      </w:r>
      <w:bookmarkEnd w:id="135"/>
    </w:p>
    <w:p w14:paraId="39F6CD67" w14:textId="77777777" w:rsidR="006E6AEF" w:rsidRPr="003F222F" w:rsidRDefault="00000000">
      <w:pPr>
        <w:pStyle w:val="a1"/>
        <w:rPr>
          <w:lang w:val="en-US"/>
        </w:rPr>
      </w:pPr>
      <w:bookmarkStart w:id="136" w:name="src_98"/>
      <w:r w:rsidRPr="003F222F">
        <w:rPr>
          <w:lang w:val="en-US"/>
        </w:rPr>
        <w:t>Larman C., Basili V. R. Iterative and Incremental Development: A Brief History // Computer. – 2003. – Vol. 36, No. 6. – P. 47–56.</w:t>
      </w:r>
      <w:bookmarkEnd w:id="136"/>
    </w:p>
    <w:p w14:paraId="4C32A8C8" w14:textId="77777777" w:rsidR="006E6AEF" w:rsidRPr="003F222F" w:rsidRDefault="00000000">
      <w:pPr>
        <w:pStyle w:val="a1"/>
        <w:rPr>
          <w:lang w:val="en-US"/>
        </w:rPr>
      </w:pPr>
      <w:bookmarkStart w:id="137" w:name="src_99"/>
      <w:r w:rsidRPr="003F222F">
        <w:rPr>
          <w:lang w:val="en-US"/>
        </w:rPr>
        <w:t>McConnell S. Code Complete / S. McConnell. – 2nd ed. – Redmond : Microsoft Press, 2004.</w:t>
      </w:r>
      <w:bookmarkEnd w:id="137"/>
    </w:p>
    <w:p w14:paraId="4E81DB9E" w14:textId="77777777" w:rsidR="006E6AEF" w:rsidRPr="003F222F" w:rsidRDefault="00000000">
      <w:pPr>
        <w:pStyle w:val="a1"/>
        <w:rPr>
          <w:lang w:val="en-US"/>
        </w:rPr>
      </w:pPr>
      <w:bookmarkStart w:id="138" w:name="src_100"/>
      <w:r w:rsidRPr="003F222F">
        <w:rPr>
          <w:lang w:val="en-US"/>
        </w:rPr>
        <w:t>Paulk M. C., Weber C. V., Curtis B., Chrissis M. B. The Capability Maturity Model: Guidelines for Improving the Software Process / M. C. Paulk et al. – Reading : Addison-Wesley, 1995.</w:t>
      </w:r>
      <w:bookmarkEnd w:id="138"/>
    </w:p>
    <w:p w14:paraId="66D329DE" w14:textId="77777777" w:rsidR="006E6AEF" w:rsidRPr="003F222F" w:rsidRDefault="00000000">
      <w:pPr>
        <w:pStyle w:val="a1"/>
        <w:rPr>
          <w:lang w:val="en-US"/>
        </w:rPr>
      </w:pPr>
      <w:bookmarkStart w:id="139" w:name="src_101"/>
      <w:r w:rsidRPr="003F222F">
        <w:rPr>
          <w:lang w:val="en-US"/>
        </w:rPr>
        <w:t>Pressman R. S., Maxim B. R. Software Engineering: A Practitioner's Approach / R. S. Pressman, B. R. Maxim. – 8th ed. – New York : McGraw-Hill, 2015.</w:t>
      </w:r>
      <w:bookmarkEnd w:id="139"/>
    </w:p>
    <w:p w14:paraId="4DFA11F3" w14:textId="77777777" w:rsidR="006E6AEF" w:rsidRPr="003F222F" w:rsidRDefault="00000000">
      <w:pPr>
        <w:pStyle w:val="a1"/>
        <w:rPr>
          <w:lang w:val="en-US"/>
        </w:rPr>
      </w:pPr>
      <w:bookmarkStart w:id="140" w:name="src_102"/>
      <w:r w:rsidRPr="003F222F">
        <w:rPr>
          <w:lang w:val="en-US"/>
        </w:rPr>
        <w:lastRenderedPageBreak/>
        <w:t>Royce W. W. Managing the Development of Large Software Systems // Proceedings of IEEE WESCON. – 1970. – P. 1–9.</w:t>
      </w:r>
      <w:bookmarkEnd w:id="140"/>
    </w:p>
    <w:p w14:paraId="0D8F6B20" w14:textId="77777777" w:rsidR="006E6AEF" w:rsidRPr="003F222F" w:rsidRDefault="00000000">
      <w:pPr>
        <w:pStyle w:val="a1"/>
        <w:rPr>
          <w:lang w:val="en-US"/>
        </w:rPr>
      </w:pPr>
      <w:bookmarkStart w:id="141" w:name="src_103"/>
      <w:r w:rsidRPr="003F222F">
        <w:rPr>
          <w:lang w:val="en-US"/>
        </w:rPr>
        <w:t xml:space="preserve">Schwaber K., Sutherland J. The Scrum Guide: The Definitive Guide to Scrum. – 2020. – </w:t>
      </w:r>
      <w:r>
        <w:t>Режим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 xml:space="preserve">: https://scrumguides.org. – </w:t>
      </w:r>
      <w:r>
        <w:t>Дата</w:t>
      </w:r>
      <w:r w:rsidRPr="003F222F">
        <w:rPr>
          <w:lang w:val="en-US"/>
        </w:rPr>
        <w:t xml:space="preserve"> </w:t>
      </w:r>
      <w:r>
        <w:t>доступа</w:t>
      </w:r>
      <w:r w:rsidRPr="003F222F">
        <w:rPr>
          <w:lang w:val="en-US"/>
        </w:rPr>
        <w:t>: 26.09.2026.</w:t>
      </w:r>
      <w:bookmarkEnd w:id="141"/>
    </w:p>
    <w:p w14:paraId="520D67EA" w14:textId="77777777" w:rsidR="006E6AEF" w:rsidRPr="003F222F" w:rsidRDefault="00000000">
      <w:pPr>
        <w:pStyle w:val="a1"/>
        <w:rPr>
          <w:lang w:val="en-US"/>
        </w:rPr>
      </w:pPr>
      <w:bookmarkStart w:id="142" w:name="src_104"/>
      <w:r w:rsidRPr="003F222F">
        <w:rPr>
          <w:lang w:val="en-US"/>
        </w:rPr>
        <w:t>Sommerville I. Software Engineering / I. Sommerville. – 10th ed. – Harlow : Pearson, 2016.</w:t>
      </w:r>
      <w:bookmarkEnd w:id="142"/>
    </w:p>
    <w:p w14:paraId="67586C2C" w14:textId="77777777" w:rsidR="006E6AEF" w:rsidRPr="003F222F" w:rsidRDefault="00000000">
      <w:pPr>
        <w:pStyle w:val="a1"/>
        <w:rPr>
          <w:lang w:val="en-US"/>
        </w:rPr>
      </w:pPr>
      <w:bookmarkStart w:id="143" w:name="src_105"/>
      <w:r w:rsidRPr="003F222F">
        <w:rPr>
          <w:lang w:val="en-US"/>
        </w:rPr>
        <w:t>Wang J., Huang Y., Chen C. et al. Software Testing with Large Language Models: Survey, Landscape, and Vision // IEEE Transactions on Software Engineering. – 2024. – Vol. 50, No. 4. – P. 911–936. – DOI 10.1109/TSE.2024.3368208.</w:t>
      </w:r>
      <w:bookmarkEnd w:id="143"/>
    </w:p>
    <w:p w14:paraId="463AD0F7" w14:textId="77777777" w:rsidR="006E6AEF" w:rsidRPr="003F222F" w:rsidRDefault="00000000">
      <w:pPr>
        <w:pStyle w:val="a1"/>
        <w:rPr>
          <w:lang w:val="en-US"/>
        </w:rPr>
      </w:pPr>
      <w:bookmarkStart w:id="144" w:name="src_106"/>
      <w:r w:rsidRPr="003F222F">
        <w:rPr>
          <w:lang w:val="en-US"/>
        </w:rPr>
        <w:t>Wohlin C., Runeson P., Höst M. et al. Experimentation in Software Engineering / C. Wohlin et al. – Berlin : Springer, 2012.</w:t>
      </w:r>
      <w:bookmarkEnd w:id="144"/>
    </w:p>
    <w:p w14:paraId="596F6CAB" w14:textId="77777777" w:rsidR="006E6AEF" w:rsidRDefault="00000000">
      <w:pPr>
        <w:pStyle w:val="a4"/>
        <w:pageBreakBefore/>
      </w:pPr>
      <w:bookmarkStart w:id="145" w:name="app_А"/>
      <w:bookmarkStart w:id="146" w:name="_Toc241781047"/>
      <w:r>
        <w:lastRenderedPageBreak/>
        <w:t>. Полная система показателей оценки уровня технологического развития экономики Республики Беларусь</w:t>
      </w:r>
      <w:bookmarkEnd w:id="145"/>
      <w:bookmarkEnd w:id="146"/>
    </w:p>
    <w:p w14:paraId="22A8CD44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>Полный состав показателей оценки уровня технологического развития экономики Республики Беларусь за 2021–2025 годы по данным Белстата приведён в таблице А.1.</w:t>
      </w:r>
    </w:p>
    <w:p w14:paraId="40D767D2" w14:textId="77777777" w:rsidR="006E6AEF" w:rsidRDefault="00000000">
      <w:pPr>
        <w:pStyle w:val="a2"/>
        <w:keepNext/>
        <w:numPr>
          <w:ilvl w:val="4"/>
          <w:numId w:val="0"/>
        </w:numPr>
      </w:pPr>
      <w:bookmarkStart w:id="147" w:name="tbl_А_1"/>
      <w:r>
        <w:t>Таблица А.1 – Показатели оценки уровня технологического развития экономики Республики Беларусь за 2021–2025 годы</w:t>
      </w:r>
      <w:bookmarkEnd w:id="147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033"/>
        <w:gridCol w:w="1119"/>
        <w:gridCol w:w="1119"/>
        <w:gridCol w:w="1119"/>
        <w:gridCol w:w="1119"/>
        <w:gridCol w:w="1119"/>
      </w:tblGrid>
      <w:tr w:rsidR="006E6AEF" w14:paraId="390DEF43" w14:textId="77777777">
        <w:trPr>
          <w:cantSplit/>
          <w:tblHeader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AD05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Показатель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86877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C7A4B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C59A6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81D4E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917AB" w14:textId="77777777" w:rsidR="006E6AEF" w:rsidRDefault="00000000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2025*</w:t>
            </w:r>
          </w:p>
        </w:tc>
      </w:tr>
      <w:tr w:rsidR="006E6AEF" w14:paraId="1848A799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A5A5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Доля высокотехнологичных (включая среднетехнологичные высокого уровня) и наукоёмких отраслей экономики в ВВП,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F8FA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39,4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68B9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38,5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5700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38,8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880E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37,9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62A7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37,4</w:t>
            </w:r>
          </w:p>
        </w:tc>
      </w:tr>
      <w:tr w:rsidR="006E6AEF" w14:paraId="25AB6474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2562D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Доля высокотехнологичных и наукоёмких отраслей экономики в ВВП,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0BBA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2EE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29,6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FBB4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002D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98B2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30,7</w:t>
            </w:r>
          </w:p>
        </w:tc>
      </w:tr>
      <w:tr w:rsidR="006E6AEF" w14:paraId="7205C092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98C75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Доля высокотехнологичных производств в добавленной стоимости обрабатывающей промышленности,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E47E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A771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5,9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769F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94D4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64BC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8,4</w:t>
            </w:r>
          </w:p>
        </w:tc>
      </w:tr>
      <w:tr w:rsidR="006E6AEF" w14:paraId="1100CEB0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9927B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Наукоёмкость ВВП,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552D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0,46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72FD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0,47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2EDA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0,57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3C90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0,58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3F59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0,55</w:t>
            </w:r>
          </w:p>
        </w:tc>
      </w:tr>
      <w:tr w:rsidR="006E6AEF" w14:paraId="0E24E1D8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5F7F3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исследователей на 1 млн жителей, человек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6001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1754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E51E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1780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8621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1871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799B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1938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001E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2002</w:t>
            </w:r>
          </w:p>
        </w:tc>
      </w:tr>
      <w:tr w:rsidR="006E6AEF" w14:paraId="094356C7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8CB80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Объём отгруженной инновационной продукции (работ, услуг) организациями промышленности, млрд руб.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3B18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24,5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EABE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23,8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5ED0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33,1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1ED4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93D5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29,6</w:t>
            </w:r>
          </w:p>
        </w:tc>
      </w:tr>
      <w:tr w:rsidR="006E6AEF" w14:paraId="30A83393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4C2DE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отгруженной инновационной продукции в общем объёме отгруженной продукции организаций промышленности,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4AFC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8BD0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17,7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7F3D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200C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3C5C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17,1</w:t>
            </w:r>
          </w:p>
        </w:tc>
      </w:tr>
      <w:tr w:rsidR="006E6AEF" w14:paraId="52EA5748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F49AC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организаций промышленности, осуществлявших затраты на инновации, в общем числе обследованных организаций промышленности,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A18F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682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E21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28,3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21CC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30,1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65C9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22,7</w:t>
            </w:r>
          </w:p>
        </w:tc>
      </w:tr>
      <w:tr w:rsidR="006E6AEF" w14:paraId="3BCC1798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343F2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организаций промышленности, осуществлявших затраты на инновации и (или) отгружавших инновационную продукцию (работы, услуги), в общем числе обследованных организаций промышленности,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245C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35,0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B92E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35,1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E72F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34,8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D548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0C75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26,4</w:t>
            </w:r>
          </w:p>
        </w:tc>
      </w:tr>
      <w:tr w:rsidR="006E6AEF" w14:paraId="51582536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1E488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lastRenderedPageBreak/>
              <w:t>Доля автомобильных дорог с твёрдым покрытием в общей протяжённости автомобильных дорог общего пользования,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905B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87,1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DA5F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86,7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5803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86,9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F61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87,4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1424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87,6</w:t>
            </w:r>
          </w:p>
        </w:tc>
      </w:tr>
      <w:tr w:rsidR="006E6AEF" w14:paraId="0EC1F45C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861C8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Доля электрифицированных участков в общей эксплуатационной длине железнодорожных путей общего пользования,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C155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25,0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B82B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25,0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2BE1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25,0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230E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25,0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AAD2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25,0</w:t>
            </w:r>
          </w:p>
        </w:tc>
      </w:tr>
      <w:tr w:rsidR="006E6AEF" w14:paraId="5CCDEC74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82791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Доля электрифицированных транспортных средств, выполняющих городские перевозки пассажиров в регулярном сообщении, в общем количестве подвижного состава, осуществляющего перевозки пассажиров городским электрическим транспортом, метрополитеном и автомобильным транспортом общего пользования,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2BDB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4FFB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3722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E945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C949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28,4</w:t>
            </w:r>
          </w:p>
        </w:tc>
      </w:tr>
      <w:tr w:rsidR="006E6AEF" w14:paraId="1E6B00E4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4F86D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электрических зарядных станций (устройств, колонок), единиц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B691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B0B4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D0CC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1050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0ABB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1376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7D7B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2090</w:t>
            </w:r>
          </w:p>
        </w:tc>
      </w:tr>
      <w:tr w:rsidR="006E6AEF" w14:paraId="6AF91F19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DDEE8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электромобилей и электробусов, находящихся в собственности граждан и организаций (на конец года), единиц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D26F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2647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CFD3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3751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C04B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7849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EE95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26587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A227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55488</w:t>
            </w:r>
          </w:p>
        </w:tc>
      </w:tr>
      <w:tr w:rsidR="006E6AEF" w14:paraId="231838D9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AE330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из них легковых электромобилей, находящихся в собственности граждан, единиц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A91D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2310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A94A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3469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52AD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6413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8B2ED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20745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4F28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44746</w:t>
            </w:r>
          </w:p>
        </w:tc>
      </w:tr>
      <w:tr w:rsidR="006E6AEF" w14:paraId="325C8720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9AB94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оказанных электронных услуг и административных процедур посредством ОАИС (на конец года), на 100 человек населения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8494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0BE4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833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F8EC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1401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4D62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1579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8BE6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1932</w:t>
            </w:r>
          </w:p>
        </w:tc>
      </w:tr>
      <w:tr w:rsidR="006E6AEF" w14:paraId="517FD636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8A214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из них электронных услуг, на 100 человек населения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EAFB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187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88A4D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825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E7EF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1396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BA0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1562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E892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1908</w:t>
            </w:r>
          </w:p>
        </w:tc>
      </w:tr>
      <w:tr w:rsidR="006E6AEF" w14:paraId="42E0B9BF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9AF02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абонентов, подключённых к IMS-платформе (на конец года), на 100 человек населения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BADF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40,4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356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40,8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62FAB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41,0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F940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41,5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DBEE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41,7</w:t>
            </w:r>
          </w:p>
        </w:tc>
      </w:tr>
      <w:tr w:rsidR="006E6AEF" w14:paraId="52240DA3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29F8A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абонентов сетей сотовой подвижной электросвязи (на конец года), на 100 человек населения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F521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127,1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D17D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127,9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88AF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128,4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8FDB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130,4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A9F0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131,7</w:t>
            </w:r>
          </w:p>
        </w:tc>
      </w:tr>
      <w:tr w:rsidR="006E6AEF" w14:paraId="4B101B8F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BF93C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Количество абонентов, подключённых к сети Интернет (на конец года), тысяч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5568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13447,5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549D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13636,2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DA96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13826,1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96D8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14112,7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C817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14387,6</w:t>
            </w:r>
          </w:p>
        </w:tc>
      </w:tr>
      <w:tr w:rsidR="006E6AEF" w14:paraId="070C42F0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E1F8C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в том числе по стационарному широкополосному доступу, тысяч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D09E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3238,9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2177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3125,1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C338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3199,0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1E4C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3284,2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2E0F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3422,5</w:t>
            </w:r>
          </w:p>
        </w:tc>
      </w:tr>
      <w:tr w:rsidR="006E6AEF" w14:paraId="6A9EFBA5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0AC74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по беспроводному широкополосному доступу, тысяч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4D1F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9054,9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85D2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9321,8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997C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9455,5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F75A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9740,5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10D1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10011,7</w:t>
            </w:r>
          </w:p>
        </w:tc>
      </w:tr>
      <w:tr w:rsidR="006E6AEF" w14:paraId="7E9648AC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8EB2A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lastRenderedPageBreak/>
              <w:t>Удельный вес розничного товарооборота, полученного через сеть Интернет, в розничном товарообороте организаций торговли,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29E9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5,6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C170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D06B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889A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11,7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4C0D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14,1</w:t>
            </w:r>
          </w:p>
        </w:tc>
      </w:tr>
      <w:tr w:rsidR="006E6AEF" w14:paraId="590168B5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EEF82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розничного товарооборота организаций торговли, полученного путём безналичного расчёта, в розничном товарообороте организаций торговли,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465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48,4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2319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49,8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5AB0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55,2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FDDEC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60,1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19C9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63,5</w:t>
            </w:r>
          </w:p>
        </w:tc>
      </w:tr>
      <w:tr w:rsidR="006E6AEF" w14:paraId="2DEE4122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ABA67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Доля экспорта наукоёмкой и высокотехнологичной продукции в общем объёме экспорта товаров и услуг,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DC24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40FB8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37,6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BB01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39,8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FC05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38,1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3B7C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36,2</w:t>
            </w:r>
          </w:p>
        </w:tc>
      </w:tr>
      <w:tr w:rsidR="006E6AEF" w14:paraId="5DCC4583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58826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экспорта высокотехнологичных товаров в общем объёме экспорта товаров и услуг,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4E8A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2,3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D45A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3,2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DC80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3,6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BD80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AF02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3,9</w:t>
            </w:r>
          </w:p>
        </w:tc>
      </w:tr>
      <w:tr w:rsidR="006E6AEF" w14:paraId="23554E7A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38CA8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экспорта среднетехнологичных товаров высокого уровня в общем объёме экспорта товаров и услуг,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7C93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042E9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24,4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3E5D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27,3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488D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24,8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1D0D4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22,6</w:t>
            </w:r>
          </w:p>
        </w:tc>
      </w:tr>
      <w:tr w:rsidR="006E6AEF" w14:paraId="4C580824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062A8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экспорта наукоёмких высокотехнологичных услуг в общем объёме экспорта товаров и услуг,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93A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6,9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F7371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6,7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CB25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33402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F20BE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4,7</w:t>
            </w:r>
          </w:p>
        </w:tc>
      </w:tr>
      <w:tr w:rsidR="006E6AEF" w14:paraId="5511E2D9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D354D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экспорта наукоёмких финансовых услуг в общем объёме экспорта товаров и услуг,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2BE3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80565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3BD1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B286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9BE9A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</w:tr>
      <w:tr w:rsidR="006E6AEF" w14:paraId="1E93F52A" w14:textId="77777777">
        <w:trPr>
          <w:cantSplit/>
        </w:trPr>
        <w:tc>
          <w:tcPr>
            <w:tcW w:w="4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894EC" w14:textId="77777777" w:rsidR="006E6AEF" w:rsidRDefault="00000000">
            <w:r>
              <w:rPr>
                <w:rFonts w:ascii="Times New Roman" w:hAnsi="Times New Roman" w:cs="Times New Roman"/>
                <w:sz w:val="24"/>
              </w:rPr>
              <w:t>Удельный вес экспорта наукоёмких рыночных услуг в общем объёме экспорта товаров и услуг, %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5DF66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838B3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3,1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4136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9314F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563D7" w14:textId="77777777" w:rsidR="006E6AEF" w:rsidRDefault="00000000"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4,8</w:t>
            </w:r>
          </w:p>
        </w:tc>
      </w:tr>
    </w:tbl>
    <w:p w14:paraId="2D311FBB" w14:textId="77777777" w:rsidR="006E6AEF" w:rsidRDefault="006E6AEF"/>
    <w:p w14:paraId="509B09BF" w14:textId="77777777" w:rsidR="006E6AEF" w:rsidRPr="003F222F" w:rsidRDefault="00000000">
      <w:pPr>
        <w:pStyle w:val="TNR0"/>
        <w:rPr>
          <w:lang w:val="ru-RU"/>
        </w:rPr>
      </w:pPr>
      <w:r w:rsidRPr="003F222F">
        <w:rPr>
          <w:lang w:val="ru-RU"/>
        </w:rPr>
        <w:t xml:space="preserve">Примечание – Данные за 2025 год являются предварительными </w:t>
      </w:r>
      <w:hyperlink w:anchor="src_53" w:history="1">
        <w:r w:rsidR="006E6AEF" w:rsidRPr="003F222F">
          <w:rPr>
            <w:lang w:val="ru-RU"/>
          </w:rPr>
          <w:t>[53]</w:t>
        </w:r>
      </w:hyperlink>
      <w:r w:rsidRPr="003F222F">
        <w:rPr>
          <w:lang w:val="ru-RU"/>
        </w:rPr>
        <w:t>.</w:t>
      </w:r>
    </w:p>
    <w:sectPr w:rsidR="006E6AEF" w:rsidRPr="003F222F">
      <w:footerReference w:type="default" r:id="rId12"/>
      <w:pgSz w:w="11906" w:h="16838"/>
      <w:pgMar w:top="1134" w:right="1134" w:bottom="170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DEF41" w14:textId="77777777" w:rsidR="006825DC" w:rsidRDefault="006825DC">
      <w:r>
        <w:separator/>
      </w:r>
    </w:p>
  </w:endnote>
  <w:endnote w:type="continuationSeparator" w:id="0">
    <w:p w14:paraId="18085244" w14:textId="77777777" w:rsidR="006825DC" w:rsidRDefault="0068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CC8A" w14:textId="77777777" w:rsidR="006E6AEF" w:rsidRDefault="006E6AEF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71AFF" w14:textId="77777777" w:rsidR="006E6AEF" w:rsidRDefault="00000000">
    <w:pPr>
      <w:jc w:val="right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>2</w: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CEF22" w14:textId="77777777" w:rsidR="006825DC" w:rsidRDefault="006825DC">
      <w:r>
        <w:separator/>
      </w:r>
    </w:p>
  </w:footnote>
  <w:footnote w:type="continuationSeparator" w:id="0">
    <w:p w14:paraId="29C400D4" w14:textId="77777777" w:rsidR="006825DC" w:rsidRDefault="00682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17382C"/>
    <w:multiLevelType w:val="multilevel"/>
    <w:tmpl w:val="B8589CC8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4" w15:restartNumberingAfterBreak="0">
    <w:nsid w:val="35780281"/>
    <w:multiLevelType w:val="multilevel"/>
    <w:tmpl w:val="CCE633E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  <w:sz w:val="28"/>
        <w:szCs w:val="28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8F07E9E"/>
    <w:multiLevelType w:val="multilevel"/>
    <w:tmpl w:val="1BC2671E"/>
    <w:lvl w:ilvl="0">
      <w:start w:val="1"/>
      <w:numFmt w:val="russianUpper"/>
      <w:pStyle w:val="a4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 w16cid:durableId="1330140721">
    <w:abstractNumId w:val="2"/>
  </w:num>
  <w:num w:numId="2" w16cid:durableId="1419054223">
    <w:abstractNumId w:val="3"/>
  </w:num>
  <w:num w:numId="3" w16cid:durableId="1801874109">
    <w:abstractNumId w:val="3"/>
  </w:num>
  <w:num w:numId="4" w16cid:durableId="868567122">
    <w:abstractNumId w:val="3"/>
  </w:num>
  <w:num w:numId="5" w16cid:durableId="778598372">
    <w:abstractNumId w:val="3"/>
  </w:num>
  <w:num w:numId="6" w16cid:durableId="1216548501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520633990">
    <w:abstractNumId w:val="5"/>
  </w:num>
  <w:num w:numId="8" w16cid:durableId="1738474820">
    <w:abstractNumId w:val="4"/>
  </w:num>
  <w:num w:numId="9" w16cid:durableId="720910117">
    <w:abstractNumId w:val="4"/>
  </w:num>
  <w:num w:numId="10" w16cid:durableId="839466615">
    <w:abstractNumId w:val="4"/>
  </w:num>
  <w:num w:numId="11" w16cid:durableId="610093065">
    <w:abstractNumId w:val="4"/>
  </w:num>
  <w:num w:numId="12" w16cid:durableId="840317373">
    <w:abstractNumId w:val="4"/>
  </w:num>
  <w:num w:numId="13" w16cid:durableId="1007714007">
    <w:abstractNumId w:val="4"/>
  </w:num>
  <w:num w:numId="14" w16cid:durableId="1406419972">
    <w:abstractNumId w:val="0"/>
  </w:num>
  <w:num w:numId="15" w16cid:durableId="18742241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D8"/>
    <w:rsid w:val="000A2ABB"/>
    <w:rsid w:val="000D0060"/>
    <w:rsid w:val="000F5E4D"/>
    <w:rsid w:val="00115034"/>
    <w:rsid w:val="0024074E"/>
    <w:rsid w:val="002A12CC"/>
    <w:rsid w:val="00356D54"/>
    <w:rsid w:val="00375948"/>
    <w:rsid w:val="003A2F2B"/>
    <w:rsid w:val="003E5E32"/>
    <w:rsid w:val="003F222F"/>
    <w:rsid w:val="00426D46"/>
    <w:rsid w:val="004C5AAA"/>
    <w:rsid w:val="004D24EA"/>
    <w:rsid w:val="0050665D"/>
    <w:rsid w:val="00531559"/>
    <w:rsid w:val="00551E69"/>
    <w:rsid w:val="00571633"/>
    <w:rsid w:val="005D56FB"/>
    <w:rsid w:val="006050ED"/>
    <w:rsid w:val="00614F13"/>
    <w:rsid w:val="00631AF7"/>
    <w:rsid w:val="006329D0"/>
    <w:rsid w:val="006825DC"/>
    <w:rsid w:val="006A42F9"/>
    <w:rsid w:val="006E6AEF"/>
    <w:rsid w:val="007965D5"/>
    <w:rsid w:val="00884AD4"/>
    <w:rsid w:val="0093409F"/>
    <w:rsid w:val="00963713"/>
    <w:rsid w:val="00965F47"/>
    <w:rsid w:val="00A01189"/>
    <w:rsid w:val="00A11353"/>
    <w:rsid w:val="00AF225B"/>
    <w:rsid w:val="00B44B9A"/>
    <w:rsid w:val="00B77D5A"/>
    <w:rsid w:val="00BD49D8"/>
    <w:rsid w:val="00C03D9A"/>
    <w:rsid w:val="00CC1D4C"/>
    <w:rsid w:val="00CE1597"/>
    <w:rsid w:val="00CF1E88"/>
    <w:rsid w:val="00D80793"/>
    <w:rsid w:val="00D868B7"/>
    <w:rsid w:val="00EE265A"/>
    <w:rsid w:val="00EE678F"/>
    <w:rsid w:val="00F206AD"/>
    <w:rsid w:val="00F8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15DB1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F206AD"/>
    <w:pPr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1">
    <w:name w:val="heading 1"/>
    <w:aliases w:val="Знак Знак"/>
    <w:basedOn w:val="a5"/>
    <w:next w:val="a5"/>
    <w:link w:val="12"/>
    <w:qFormat/>
    <w:rsid w:val="00F2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5"/>
    <w:next w:val="a5"/>
    <w:link w:val="22"/>
    <w:unhideWhenUsed/>
    <w:qFormat/>
    <w:rsid w:val="00F2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5"/>
    <w:next w:val="a5"/>
    <w:link w:val="32"/>
    <w:unhideWhenUsed/>
    <w:qFormat/>
    <w:rsid w:val="00F206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1">
    <w:name w:val="heading 4"/>
    <w:basedOn w:val="a5"/>
    <w:next w:val="a5"/>
    <w:link w:val="42"/>
    <w:unhideWhenUsed/>
    <w:qFormat/>
    <w:rsid w:val="00F206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F206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F206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F206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F206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F206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TNR">
    <w:name w:val="#TNR.БО"/>
    <w:basedOn w:val="a5"/>
    <w:qFormat/>
    <w:rsid w:val="00F206AD"/>
    <w:pPr>
      <w:spacing w:line="360" w:lineRule="exact"/>
      <w:contextualSpacing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#Источ"/>
    <w:basedOn w:val="a5"/>
    <w:qFormat/>
    <w:rsid w:val="00F206AD"/>
    <w:pPr>
      <w:numPr>
        <w:numId w:val="1"/>
      </w:numPr>
      <w:tabs>
        <w:tab w:val="left" w:pos="993"/>
        <w:tab w:val="left" w:pos="1191"/>
        <w:tab w:val="left" w:pos="1276"/>
        <w:tab w:val="left" w:pos="1985"/>
      </w:tabs>
      <w:spacing w:line="360" w:lineRule="exact"/>
      <w:contextualSpacing/>
      <w:jc w:val="both"/>
    </w:pPr>
    <w:rPr>
      <w:rFonts w:ascii="Times New Roman" w:hAnsi="Times New Roman"/>
      <w:sz w:val="28"/>
    </w:rPr>
  </w:style>
  <w:style w:type="paragraph" w:customStyle="1" w:styleId="a9">
    <w:name w:val="#Код"/>
    <w:basedOn w:val="a5"/>
    <w:qFormat/>
    <w:rsid w:val="00F206AD"/>
    <w:pPr>
      <w:spacing w:line="360" w:lineRule="exact"/>
      <w:contextualSpacing/>
      <w:jc w:val="both"/>
    </w:pPr>
    <w:rPr>
      <w:rFonts w:ascii="Consolas" w:hAnsi="Consolas"/>
      <w:sz w:val="20"/>
      <w:lang w:val="en-US"/>
    </w:rPr>
  </w:style>
  <w:style w:type="paragraph" w:customStyle="1" w:styleId="aa">
    <w:name w:val="#Коммент"/>
    <w:basedOn w:val="a5"/>
    <w:qFormat/>
    <w:rsid w:val="00F206AD"/>
    <w:pPr>
      <w:spacing w:line="360" w:lineRule="exact"/>
      <w:ind w:firstLine="709"/>
      <w:contextualSpacing/>
      <w:jc w:val="both"/>
    </w:pPr>
    <w:rPr>
      <w:rFonts w:ascii="Times New Roman" w:hAnsi="Times New Roman"/>
      <w:color w:val="7030A0"/>
      <w:sz w:val="28"/>
      <w14:numForm w14:val="lining"/>
    </w:rPr>
  </w:style>
  <w:style w:type="paragraph" w:customStyle="1" w:styleId="1">
    <w:name w:val="#ПеречП1"/>
    <w:basedOn w:val="a5"/>
    <w:qFormat/>
    <w:rsid w:val="00F206AD"/>
    <w:pPr>
      <w:numPr>
        <w:numId w:val="5"/>
      </w:numPr>
      <w:spacing w:line="360" w:lineRule="exact"/>
      <w:contextualSpacing/>
      <w:jc w:val="both"/>
    </w:pPr>
    <w:rPr>
      <w:rFonts w:ascii="Times New Roman" w:hAnsi="Times New Roman"/>
      <w:sz w:val="28"/>
      <w:lang w:val="en-US"/>
    </w:rPr>
  </w:style>
  <w:style w:type="paragraph" w:customStyle="1" w:styleId="2">
    <w:name w:val="#ПеречП2"/>
    <w:basedOn w:val="1"/>
    <w:qFormat/>
    <w:rsid w:val="00F206AD"/>
    <w:pPr>
      <w:numPr>
        <w:ilvl w:val="1"/>
      </w:numPr>
    </w:pPr>
  </w:style>
  <w:style w:type="paragraph" w:customStyle="1" w:styleId="3">
    <w:name w:val="#ПеречП3"/>
    <w:basedOn w:val="1"/>
    <w:qFormat/>
    <w:rsid w:val="00F206AD"/>
    <w:pPr>
      <w:numPr>
        <w:ilvl w:val="2"/>
      </w:numPr>
    </w:pPr>
  </w:style>
  <w:style w:type="paragraph" w:customStyle="1" w:styleId="4">
    <w:name w:val="#ПеречП4"/>
    <w:basedOn w:val="3"/>
    <w:qFormat/>
    <w:rsid w:val="00F206AD"/>
    <w:pPr>
      <w:numPr>
        <w:ilvl w:val="3"/>
      </w:numPr>
    </w:pPr>
  </w:style>
  <w:style w:type="paragraph" w:customStyle="1" w:styleId="a0">
    <w:name w:val="#ПеречС"/>
    <w:basedOn w:val="a5"/>
    <w:qFormat/>
    <w:rsid w:val="00F206AD"/>
    <w:pPr>
      <w:numPr>
        <w:numId w:val="6"/>
      </w:numPr>
      <w:spacing w:line="360" w:lineRule="exact"/>
      <w:contextualSpacing/>
      <w:jc w:val="both"/>
    </w:pPr>
    <w:rPr>
      <w:rFonts w:ascii="Times New Roman" w:hAnsi="Times New Roman"/>
      <w:sz w:val="28"/>
    </w:rPr>
  </w:style>
  <w:style w:type="paragraph" w:customStyle="1" w:styleId="a4">
    <w:name w:val="#Прилож"/>
    <w:basedOn w:val="TNR"/>
    <w:next w:val="a5"/>
    <w:qFormat/>
    <w:rsid w:val="00F206AD"/>
    <w:pPr>
      <w:numPr>
        <w:numId w:val="7"/>
      </w:numPr>
      <w:spacing w:after="360"/>
      <w:jc w:val="center"/>
      <w:outlineLvl w:val="0"/>
    </w:pPr>
    <w:rPr>
      <w:b/>
      <w:bCs/>
      <w:caps/>
    </w:rPr>
  </w:style>
  <w:style w:type="paragraph" w:customStyle="1" w:styleId="a3">
    <w:name w:val="#Рис"/>
    <w:basedOn w:val="a5"/>
    <w:next w:val="a5"/>
    <w:link w:val="ab"/>
    <w:qFormat/>
    <w:rsid w:val="00F206AD"/>
    <w:pPr>
      <w:numPr>
        <w:ilvl w:val="5"/>
        <w:numId w:val="13"/>
      </w:numPr>
      <w:suppressAutoHyphens/>
      <w:spacing w:before="360" w:after="360" w:line="360" w:lineRule="exact"/>
      <w:contextualSpacing/>
      <w:jc w:val="center"/>
    </w:pPr>
    <w:rPr>
      <w:rFonts w:ascii="Times New Roman" w:hAnsi="Times New Roman"/>
      <w:sz w:val="28"/>
    </w:rPr>
  </w:style>
  <w:style w:type="character" w:customStyle="1" w:styleId="ab">
    <w:name w:val="#Рис Знак"/>
    <w:basedOn w:val="a6"/>
    <w:link w:val="a3"/>
    <w:rsid w:val="00F206AD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2">
    <w:name w:val="#Табл"/>
    <w:basedOn w:val="a5"/>
    <w:next w:val="a5"/>
    <w:qFormat/>
    <w:rsid w:val="00F206AD"/>
    <w:pPr>
      <w:numPr>
        <w:ilvl w:val="4"/>
        <w:numId w:val="13"/>
      </w:numPr>
      <w:suppressAutoHyphens/>
      <w:spacing w:before="240" w:line="360" w:lineRule="exact"/>
      <w:contextualSpacing/>
    </w:pPr>
    <w:rPr>
      <w:rFonts w:ascii="Times New Roman" w:hAnsi="Times New Roman"/>
      <w:sz w:val="28"/>
    </w:rPr>
  </w:style>
  <w:style w:type="paragraph" w:customStyle="1" w:styleId="13">
    <w:name w:val="#Ур1Ц.НЕогл"/>
    <w:basedOn w:val="a5"/>
    <w:next w:val="a5"/>
    <w:link w:val="14"/>
    <w:qFormat/>
    <w:rsid w:val="00F206AD"/>
    <w:pPr>
      <w:spacing w:after="360" w:line="360" w:lineRule="exact"/>
      <w:contextualSpacing/>
      <w:jc w:val="center"/>
    </w:pPr>
    <w:rPr>
      <w:rFonts w:ascii="Times New Roman" w:hAnsi="Times New Roman"/>
      <w:b/>
      <w:caps/>
      <w:sz w:val="28"/>
      <w:lang w:val="en-US"/>
    </w:rPr>
  </w:style>
  <w:style w:type="character" w:customStyle="1" w:styleId="14">
    <w:name w:val="#Ур1Ц.НЕогл Знак"/>
    <w:basedOn w:val="a6"/>
    <w:link w:val="13"/>
    <w:rsid w:val="00F206AD"/>
    <w:rPr>
      <w:rFonts w:ascii="Times New Roman" w:hAnsi="Times New Roman"/>
      <w:b/>
      <w:caps/>
      <w:kern w:val="0"/>
      <w:sz w:val="28"/>
      <w:szCs w:val="22"/>
      <w:lang w:val="en-US"/>
      <w14:ligatures w14:val="none"/>
    </w:rPr>
  </w:style>
  <w:style w:type="paragraph" w:customStyle="1" w:styleId="15">
    <w:name w:val="#Ур1Ц"/>
    <w:basedOn w:val="13"/>
    <w:next w:val="a5"/>
    <w:link w:val="16"/>
    <w:qFormat/>
    <w:rsid w:val="00F206AD"/>
    <w:pPr>
      <w:outlineLvl w:val="0"/>
    </w:pPr>
  </w:style>
  <w:style w:type="character" w:customStyle="1" w:styleId="16">
    <w:name w:val="#Ур1Ц Знак"/>
    <w:basedOn w:val="14"/>
    <w:link w:val="15"/>
    <w:rsid w:val="00F206AD"/>
    <w:rPr>
      <w:rFonts w:ascii="Times New Roman" w:hAnsi="Times New Roman"/>
      <w:b/>
      <w:caps/>
      <w:kern w:val="0"/>
      <w:sz w:val="28"/>
      <w:szCs w:val="22"/>
      <w:lang w:val="en-US"/>
      <w14:ligatures w14:val="none"/>
    </w:rPr>
  </w:style>
  <w:style w:type="paragraph" w:customStyle="1" w:styleId="10">
    <w:name w:val="#Уров1"/>
    <w:basedOn w:val="a5"/>
    <w:next w:val="a5"/>
    <w:qFormat/>
    <w:rsid w:val="00F206AD"/>
    <w:pPr>
      <w:numPr>
        <w:numId w:val="13"/>
      </w:numPr>
      <w:suppressAutoHyphens/>
      <w:spacing w:after="360" w:line="360" w:lineRule="exact"/>
      <w:contextualSpacing/>
      <w:outlineLvl w:val="0"/>
    </w:pPr>
    <w:rPr>
      <w:rFonts w:ascii="Times New Roman" w:hAnsi="Times New Roman"/>
      <w:b/>
      <w:caps/>
      <w:sz w:val="28"/>
      <w:lang w:val="en-US"/>
    </w:rPr>
  </w:style>
  <w:style w:type="paragraph" w:customStyle="1" w:styleId="20">
    <w:name w:val="#Уров2"/>
    <w:basedOn w:val="a5"/>
    <w:next w:val="a5"/>
    <w:qFormat/>
    <w:rsid w:val="00F206AD"/>
    <w:pPr>
      <w:numPr>
        <w:ilvl w:val="1"/>
        <w:numId w:val="13"/>
      </w:numPr>
      <w:suppressAutoHyphens/>
      <w:spacing w:after="360" w:line="360" w:lineRule="exact"/>
      <w:contextualSpacing/>
      <w:outlineLvl w:val="1"/>
    </w:pPr>
    <w:rPr>
      <w:rFonts w:ascii="Times New Roman" w:hAnsi="Times New Roman"/>
      <w:b/>
      <w:sz w:val="28"/>
    </w:rPr>
  </w:style>
  <w:style w:type="paragraph" w:customStyle="1" w:styleId="30">
    <w:name w:val="#Уров3"/>
    <w:basedOn w:val="a5"/>
    <w:next w:val="a5"/>
    <w:qFormat/>
    <w:rsid w:val="00F206AD"/>
    <w:pPr>
      <w:numPr>
        <w:ilvl w:val="2"/>
        <w:numId w:val="13"/>
      </w:numPr>
      <w:spacing w:line="360" w:lineRule="exact"/>
      <w:contextualSpacing/>
      <w:jc w:val="both"/>
    </w:pPr>
    <w:rPr>
      <w:rFonts w:ascii="Times New Roman" w:hAnsi="Times New Roman"/>
      <w:sz w:val="28"/>
      <w:lang w:val="en-US"/>
    </w:rPr>
  </w:style>
  <w:style w:type="paragraph" w:customStyle="1" w:styleId="40">
    <w:name w:val="#Уров4"/>
    <w:basedOn w:val="a5"/>
    <w:next w:val="a5"/>
    <w:qFormat/>
    <w:rsid w:val="00F206AD"/>
    <w:pPr>
      <w:numPr>
        <w:ilvl w:val="3"/>
        <w:numId w:val="13"/>
      </w:numPr>
      <w:spacing w:line="360" w:lineRule="exact"/>
      <w:contextualSpacing/>
      <w:jc w:val="both"/>
    </w:pPr>
    <w:rPr>
      <w:rFonts w:ascii="Times New Roman" w:hAnsi="Times New Roman"/>
      <w:sz w:val="28"/>
    </w:rPr>
  </w:style>
  <w:style w:type="paragraph" w:customStyle="1" w:styleId="a">
    <w:name w:val="#Экспликация"/>
    <w:basedOn w:val="a5"/>
    <w:next w:val="a5"/>
    <w:qFormat/>
    <w:rsid w:val="00F206AD"/>
    <w:pPr>
      <w:numPr>
        <w:numId w:val="14"/>
      </w:numPr>
      <w:spacing w:line="360" w:lineRule="exact"/>
      <w:contextualSpacing/>
      <w:jc w:val="both"/>
    </w:pPr>
    <w:rPr>
      <w:rFonts w:ascii="Times New Roman" w:hAnsi="Times New Roman"/>
      <w:sz w:val="28"/>
    </w:rPr>
  </w:style>
  <w:style w:type="character" w:styleId="ac">
    <w:name w:val="Hyperlink"/>
    <w:basedOn w:val="a6"/>
    <w:uiPriority w:val="99"/>
    <w:unhideWhenUsed/>
    <w:rsid w:val="00F206AD"/>
    <w:rPr>
      <w:color w:val="0563C1" w:themeColor="hyperlink"/>
      <w:u w:val="single"/>
    </w:rPr>
  </w:style>
  <w:style w:type="character" w:customStyle="1" w:styleId="12">
    <w:name w:val="Заголовок 1 Знак"/>
    <w:aliases w:val="Знак Знак Знак"/>
    <w:basedOn w:val="a6"/>
    <w:link w:val="11"/>
    <w:rsid w:val="00F206A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2">
    <w:name w:val="Заголовок 2 Знак"/>
    <w:basedOn w:val="a6"/>
    <w:link w:val="21"/>
    <w:rsid w:val="00F206A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2">
    <w:name w:val="Заголовок 3 Знак"/>
    <w:basedOn w:val="a6"/>
    <w:link w:val="31"/>
    <w:rsid w:val="00F206AD"/>
    <w:rPr>
      <w:rFonts w:eastAsiaTheme="majorEastAsia" w:cstheme="majorBidi"/>
      <w:color w:val="2F5496" w:themeColor="accent1" w:themeShade="BF"/>
      <w:kern w:val="0"/>
      <w:sz w:val="22"/>
      <w:szCs w:val="28"/>
      <w14:ligatures w14:val="none"/>
    </w:rPr>
  </w:style>
  <w:style w:type="character" w:customStyle="1" w:styleId="42">
    <w:name w:val="Заголовок 4 Знак"/>
    <w:basedOn w:val="a6"/>
    <w:link w:val="41"/>
    <w:rsid w:val="00F206AD"/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50">
    <w:name w:val="Заголовок 5 Знак"/>
    <w:basedOn w:val="a6"/>
    <w:link w:val="5"/>
    <w:uiPriority w:val="9"/>
    <w:semiHidden/>
    <w:rsid w:val="00F206AD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60">
    <w:name w:val="Заголовок 6 Знак"/>
    <w:basedOn w:val="a6"/>
    <w:link w:val="6"/>
    <w:uiPriority w:val="9"/>
    <w:semiHidden/>
    <w:rsid w:val="00F206AD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0">
    <w:name w:val="Заголовок 7 Знак"/>
    <w:basedOn w:val="a6"/>
    <w:link w:val="7"/>
    <w:uiPriority w:val="9"/>
    <w:semiHidden/>
    <w:rsid w:val="00F206AD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0">
    <w:name w:val="Заголовок 8 Знак"/>
    <w:basedOn w:val="a6"/>
    <w:link w:val="8"/>
    <w:uiPriority w:val="9"/>
    <w:semiHidden/>
    <w:rsid w:val="00F206AD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6"/>
    <w:link w:val="9"/>
    <w:uiPriority w:val="9"/>
    <w:semiHidden/>
    <w:rsid w:val="00F206AD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styleId="ad">
    <w:name w:val="Unresolved Mention"/>
    <w:basedOn w:val="a6"/>
    <w:uiPriority w:val="99"/>
    <w:semiHidden/>
    <w:unhideWhenUsed/>
    <w:rsid w:val="00F206AD"/>
    <w:rPr>
      <w:color w:val="605E5C"/>
      <w:shd w:val="clear" w:color="auto" w:fill="E1DFDD"/>
    </w:rPr>
  </w:style>
  <w:style w:type="paragraph" w:styleId="17">
    <w:name w:val="toc 1"/>
    <w:basedOn w:val="a5"/>
    <w:next w:val="a5"/>
    <w:autoRedefine/>
    <w:uiPriority w:val="39"/>
    <w:unhideWhenUsed/>
    <w:qFormat/>
    <w:rsid w:val="00F206AD"/>
    <w:pPr>
      <w:tabs>
        <w:tab w:val="right" w:leader="dot" w:pos="9348"/>
      </w:tabs>
      <w:ind w:left="284" w:hanging="284"/>
    </w:pPr>
    <w:rPr>
      <w:rFonts w:ascii="Times New Roman" w:hAnsi="Times New Roman" w:cs="Times New Roman"/>
      <w:sz w:val="28"/>
      <w:szCs w:val="28"/>
    </w:rPr>
  </w:style>
  <w:style w:type="paragraph" w:styleId="23">
    <w:name w:val="toc 2"/>
    <w:basedOn w:val="a5"/>
    <w:next w:val="a5"/>
    <w:autoRedefine/>
    <w:uiPriority w:val="39"/>
    <w:unhideWhenUsed/>
    <w:qFormat/>
    <w:rsid w:val="00F206AD"/>
    <w:pPr>
      <w:tabs>
        <w:tab w:val="left" w:pos="960"/>
        <w:tab w:val="right" w:leader="dot" w:pos="9348"/>
      </w:tabs>
      <w:ind w:left="851" w:hanging="567"/>
    </w:pPr>
    <w:rPr>
      <w:rFonts w:ascii="Times New Roman" w:hAnsi="Times New Roman" w:cs="Times New Roman"/>
      <w:sz w:val="28"/>
      <w:szCs w:val="28"/>
    </w:rPr>
  </w:style>
  <w:style w:type="table" w:styleId="ae">
    <w:name w:val="Table Grid"/>
    <w:basedOn w:val="a7"/>
    <w:uiPriority w:val="39"/>
    <w:rsid w:val="00F206A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"/>
    <w:basedOn w:val="a7"/>
    <w:next w:val="ae"/>
    <w:rsid w:val="00F206A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NR0">
    <w:name w:val="#TNR"/>
    <w:qFormat/>
    <w:rsid w:val="00965F47"/>
    <w:pPr>
      <w:spacing w:after="0" w:line="360" w:lineRule="exact"/>
      <w:ind w:firstLine="709"/>
      <w:contextualSpacing/>
      <w:jc w:val="both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customStyle="1" w:styleId="af">
    <w:name w:val="титульный лист"/>
    <w:basedOn w:val="a5"/>
    <w:pPr>
      <w:spacing w:line="264" w:lineRule="auto"/>
      <w:jc w:val="center"/>
    </w:pPr>
    <w:rPr>
      <w:rFonts w:ascii="Times New Roman" w:eastAsia="Calibri" w:hAnsi="Times New Roman" w:cs="Times New Roman"/>
      <w:sz w:val="28"/>
    </w:rPr>
  </w:style>
  <w:style w:type="paragraph" w:styleId="af0">
    <w:name w:val="TOC Heading"/>
    <w:basedOn w:val="11"/>
    <w:next w:val="a5"/>
    <w:uiPriority w:val="39"/>
    <w:unhideWhenUsed/>
    <w:qFormat/>
    <w:rsid w:val="00426D46"/>
    <w:pPr>
      <w:autoSpaceDE/>
      <w:autoSpaceDN/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af1">
    <w:name w:val="header"/>
    <w:basedOn w:val="a5"/>
    <w:link w:val="af2"/>
    <w:uiPriority w:val="99"/>
    <w:unhideWhenUsed/>
    <w:rsid w:val="00AF225B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6"/>
    <w:link w:val="af1"/>
    <w:uiPriority w:val="99"/>
    <w:rsid w:val="00AF225B"/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af3">
    <w:name w:val="footer"/>
    <w:basedOn w:val="a5"/>
    <w:link w:val="af4"/>
    <w:uiPriority w:val="99"/>
    <w:unhideWhenUsed/>
    <w:rsid w:val="00AF225B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6"/>
    <w:link w:val="af3"/>
    <w:uiPriority w:val="99"/>
    <w:rsid w:val="00AF225B"/>
    <w:rPr>
      <w:rFonts w:ascii="Courier New" w:eastAsia="Courier New" w:hAnsi="Courier New" w:cs="Courier New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C9491-DFAC-499F-98E4-792A40F44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10666</Words>
  <Characters>60798</Characters>
  <Application>Microsoft Office Word</Application>
  <DocSecurity>0</DocSecurity>
  <Lines>506</Lines>
  <Paragraphs>142</Paragraphs>
  <ScaleCrop>false</ScaleCrop>
  <Company/>
  <LinksUpToDate>false</LinksUpToDate>
  <CharactersWithSpaces>71322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2026-10-02T13:43:00Z</dcterms:created>
  <dcterms:modified xsi:type="dcterms:W3CDTF">2026-10-02T13:43:00Z</dcterms:modified>
</cp:coreProperties>
</file>