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1501"/>
        <w:gridCol w:w="1200"/>
        <w:gridCol w:w="1052"/>
        <w:gridCol w:w="3866"/>
      </w:tblGrid>
      <w:tr w:rsidR="00547C4C" w14:paraId="5EE0C970" w14:textId="77777777">
        <w:trPr>
          <w:trHeight w:hRule="exact" w:val="1984"/>
          <w:jc w:val="center"/>
        </w:trPr>
        <w:tc>
          <w:tcPr>
            <w:tcW w:w="9921" w:type="dxa"/>
            <w:gridSpan w:val="5"/>
            <w:vAlign w:val="center"/>
          </w:tcPr>
          <w:p w14:paraId="5C05D813" w14:textId="77777777" w:rsidR="00547C4C" w:rsidRDefault="00000000">
            <w:pPr>
              <w:pStyle w:val="af5"/>
            </w:pPr>
            <w:r>
              <w:t>Министерство образования Республики Беларусь</w:t>
            </w:r>
          </w:p>
          <w:p w14:paraId="673F33A8" w14:textId="77777777" w:rsidR="00547C4C" w:rsidRDefault="00547C4C">
            <w:pPr>
              <w:pStyle w:val="af5"/>
            </w:pPr>
          </w:p>
          <w:p w14:paraId="7EAD9D4D" w14:textId="77777777" w:rsidR="00547C4C" w:rsidRDefault="00000000">
            <w:pPr>
              <w:pStyle w:val="af5"/>
            </w:pPr>
            <w:r>
              <w:t>Учреждение образования</w:t>
            </w:r>
          </w:p>
          <w:p w14:paraId="65789B0A" w14:textId="77777777" w:rsidR="00547C4C" w:rsidRDefault="00000000">
            <w:pPr>
              <w:pStyle w:val="af5"/>
              <w:rPr>
                <w:caps/>
              </w:rPr>
            </w:pPr>
            <w:r>
              <w:rPr>
                <w:caps/>
              </w:rPr>
              <w:t>Белорусский Государственный Университет Информатики и Радиоэлектроники</w:t>
            </w:r>
          </w:p>
        </w:tc>
      </w:tr>
      <w:tr w:rsidR="00547C4C" w14:paraId="6713E741" w14:textId="77777777">
        <w:trPr>
          <w:trHeight w:hRule="exact" w:val="565"/>
          <w:jc w:val="center"/>
        </w:trPr>
        <w:tc>
          <w:tcPr>
            <w:tcW w:w="2464" w:type="dxa"/>
            <w:vAlign w:val="center"/>
          </w:tcPr>
          <w:p w14:paraId="709CC2B9" w14:textId="77777777" w:rsidR="00547C4C" w:rsidRDefault="00000000">
            <w:pPr>
              <w:pStyle w:val="af5"/>
              <w:jc w:val="left"/>
            </w:pPr>
            <w:r>
              <w:t>Факультет</w:t>
            </w:r>
          </w:p>
        </w:tc>
        <w:tc>
          <w:tcPr>
            <w:tcW w:w="7457" w:type="dxa"/>
            <w:gridSpan w:val="4"/>
            <w:vAlign w:val="center"/>
          </w:tcPr>
          <w:p w14:paraId="48E728C5" w14:textId="77777777" w:rsidR="00547C4C" w:rsidRDefault="00000000">
            <w:pPr>
              <w:pStyle w:val="af5"/>
              <w:ind w:firstLine="0"/>
              <w:jc w:val="left"/>
            </w:pPr>
            <w:r>
              <w:t>инженерно-экономический</w:t>
            </w:r>
          </w:p>
        </w:tc>
      </w:tr>
      <w:tr w:rsidR="00547C4C" w14:paraId="7A796039" w14:textId="77777777">
        <w:trPr>
          <w:trHeight w:hRule="exact" w:val="419"/>
          <w:jc w:val="center"/>
        </w:trPr>
        <w:tc>
          <w:tcPr>
            <w:tcW w:w="2464" w:type="dxa"/>
            <w:vAlign w:val="center"/>
          </w:tcPr>
          <w:p w14:paraId="019B92B7" w14:textId="77777777" w:rsidR="00547C4C" w:rsidRDefault="00000000">
            <w:pPr>
              <w:pStyle w:val="af5"/>
              <w:jc w:val="left"/>
            </w:pPr>
            <w:r>
              <w:t xml:space="preserve">Кафедра </w:t>
            </w:r>
          </w:p>
        </w:tc>
        <w:tc>
          <w:tcPr>
            <w:tcW w:w="7457" w:type="dxa"/>
            <w:gridSpan w:val="4"/>
            <w:vAlign w:val="center"/>
          </w:tcPr>
          <w:p w14:paraId="485831C0" w14:textId="77777777" w:rsidR="00547C4C" w:rsidRDefault="00000000">
            <w:pPr>
              <w:pStyle w:val="af5"/>
              <w:ind w:firstLine="0"/>
              <w:jc w:val="left"/>
            </w:pPr>
            <w:r>
              <w:t>менеджмента</w:t>
            </w:r>
          </w:p>
        </w:tc>
      </w:tr>
      <w:tr w:rsidR="00547C4C" w14:paraId="73C2AA1A" w14:textId="77777777">
        <w:trPr>
          <w:trHeight w:val="1567"/>
          <w:jc w:val="center"/>
        </w:trPr>
        <w:tc>
          <w:tcPr>
            <w:tcW w:w="5107" w:type="dxa"/>
            <w:gridSpan w:val="3"/>
            <w:vAlign w:val="center"/>
          </w:tcPr>
          <w:p w14:paraId="1D6D6F55" w14:textId="77777777" w:rsidR="00547C4C" w:rsidRDefault="00547C4C">
            <w:pPr>
              <w:pStyle w:val="af5"/>
              <w:snapToGrid w:val="0"/>
              <w:rPr>
                <w:b/>
                <w:caps/>
              </w:rPr>
            </w:pPr>
          </w:p>
        </w:tc>
        <w:tc>
          <w:tcPr>
            <w:tcW w:w="4814" w:type="dxa"/>
            <w:gridSpan w:val="2"/>
            <w:vAlign w:val="center"/>
          </w:tcPr>
          <w:p w14:paraId="0A54D6D7" w14:textId="77777777" w:rsidR="00547C4C" w:rsidRDefault="00000000">
            <w:pPr>
              <w:pStyle w:val="af5"/>
              <w:jc w:val="left"/>
            </w:pPr>
            <w:r>
              <w:t xml:space="preserve"> </w:t>
            </w:r>
          </w:p>
        </w:tc>
      </w:tr>
      <w:tr w:rsidR="00547C4C" w14:paraId="1FF92BDF" w14:textId="77777777">
        <w:trPr>
          <w:trHeight w:hRule="exact" w:val="5223"/>
          <w:jc w:val="center"/>
        </w:trPr>
        <w:tc>
          <w:tcPr>
            <w:tcW w:w="9921" w:type="dxa"/>
            <w:gridSpan w:val="5"/>
            <w:vAlign w:val="center"/>
          </w:tcPr>
          <w:p w14:paraId="0E04A9E6" w14:textId="77777777" w:rsidR="00547C4C" w:rsidRDefault="00000000">
            <w:pPr>
              <w:pStyle w:val="af5"/>
              <w:rPr>
                <w:b/>
                <w:caps/>
              </w:rPr>
            </w:pPr>
            <w:r>
              <w:rPr>
                <w:b/>
                <w:caps/>
              </w:rPr>
              <w:t xml:space="preserve">РЕФЕРАТ </w:t>
            </w:r>
          </w:p>
          <w:p w14:paraId="63F6992B" w14:textId="77777777" w:rsidR="00547C4C" w:rsidRDefault="00000000">
            <w:pPr>
              <w:pStyle w:val="af5"/>
            </w:pPr>
            <w:r>
              <w:t>по курсу «Педагогика и психология высшего образования»</w:t>
            </w:r>
          </w:p>
          <w:p w14:paraId="065F04CE" w14:textId="77777777" w:rsidR="00547C4C" w:rsidRDefault="00000000">
            <w:pPr>
              <w:pStyle w:val="af5"/>
            </w:pPr>
            <w:r>
              <w:t>на тему</w:t>
            </w:r>
          </w:p>
          <w:p w14:paraId="064801D2" w14:textId="77777777" w:rsidR="00547C4C" w:rsidRDefault="00547C4C">
            <w:pPr>
              <w:pStyle w:val="af5"/>
            </w:pPr>
          </w:p>
          <w:p w14:paraId="137A847F" w14:textId="77777777" w:rsidR="00547C4C" w:rsidRDefault="00000000">
            <w:pPr>
              <w:pStyle w:val="af5"/>
              <w:rPr>
                <w:b/>
                <w:caps/>
              </w:rPr>
            </w:pPr>
            <w:r>
              <w:rPr>
                <w:b/>
                <w:caps/>
              </w:rPr>
              <w:t>Современное состояние высшей школы Беларуси и её модернизация в связи с Болонским процессом</w:t>
            </w:r>
          </w:p>
          <w:p w14:paraId="5E39C03F" w14:textId="77777777" w:rsidR="00547C4C" w:rsidRDefault="00547C4C">
            <w:pPr>
              <w:pStyle w:val="af5"/>
              <w:rPr>
                <w:b/>
                <w:caps/>
              </w:rPr>
            </w:pPr>
          </w:p>
          <w:p w14:paraId="68910EFF" w14:textId="77777777" w:rsidR="00547C4C" w:rsidRDefault="00547C4C">
            <w:pPr>
              <w:pStyle w:val="af5"/>
              <w:rPr>
                <w:caps/>
              </w:rPr>
            </w:pPr>
          </w:p>
        </w:tc>
      </w:tr>
      <w:tr w:rsidR="00547C4C" w14:paraId="535A61F3" w14:textId="77777777">
        <w:trPr>
          <w:trHeight w:hRule="exact" w:val="3791"/>
          <w:jc w:val="center"/>
        </w:trPr>
        <w:tc>
          <w:tcPr>
            <w:tcW w:w="3933" w:type="dxa"/>
            <w:gridSpan w:val="2"/>
          </w:tcPr>
          <w:p w14:paraId="3514DEAF" w14:textId="77777777" w:rsidR="00547C4C" w:rsidRDefault="00000000">
            <w:pPr>
              <w:pStyle w:val="af5"/>
              <w:jc w:val="left"/>
            </w:pPr>
            <w:r>
              <w:t>Студент гр. 676541</w:t>
            </w:r>
          </w:p>
          <w:p w14:paraId="7CAF9CCA" w14:textId="77777777" w:rsidR="00547C4C" w:rsidRDefault="00547C4C">
            <w:pPr>
              <w:pStyle w:val="af5"/>
              <w:jc w:val="left"/>
            </w:pPr>
          </w:p>
          <w:p w14:paraId="781EDA94" w14:textId="77777777" w:rsidR="00547C4C" w:rsidRDefault="00000000">
            <w:pPr>
              <w:pStyle w:val="af5"/>
              <w:jc w:val="left"/>
            </w:pPr>
            <w:r>
              <w:t>Проверил</w:t>
            </w:r>
          </w:p>
          <w:p w14:paraId="52B460DE" w14:textId="77777777" w:rsidR="00547C4C" w:rsidRDefault="00547C4C">
            <w:pPr>
              <w:pStyle w:val="af5"/>
              <w:jc w:val="left"/>
            </w:pPr>
          </w:p>
          <w:p w14:paraId="6CF4FD49" w14:textId="77777777" w:rsidR="00547C4C" w:rsidRDefault="00547C4C">
            <w:pPr>
              <w:pStyle w:val="af5"/>
              <w:jc w:val="left"/>
            </w:pPr>
          </w:p>
        </w:tc>
        <w:tc>
          <w:tcPr>
            <w:tcW w:w="2204" w:type="dxa"/>
            <w:gridSpan w:val="2"/>
            <w:vAlign w:val="center"/>
          </w:tcPr>
          <w:p w14:paraId="0DA5D528" w14:textId="77777777" w:rsidR="00547C4C" w:rsidRDefault="00547C4C">
            <w:pPr>
              <w:pStyle w:val="af5"/>
              <w:snapToGrid w:val="0"/>
            </w:pPr>
          </w:p>
        </w:tc>
        <w:tc>
          <w:tcPr>
            <w:tcW w:w="3784" w:type="dxa"/>
          </w:tcPr>
          <w:p w14:paraId="2DEF07EB" w14:textId="77777777" w:rsidR="00547C4C" w:rsidRDefault="00000000">
            <w:pPr>
              <w:pStyle w:val="af5"/>
              <w:jc w:val="left"/>
            </w:pPr>
            <w:r>
              <w:t>Карась А. С.</w:t>
            </w:r>
          </w:p>
          <w:p w14:paraId="460F988A" w14:textId="77777777" w:rsidR="00547C4C" w:rsidRDefault="00547C4C">
            <w:pPr>
              <w:pStyle w:val="af5"/>
              <w:jc w:val="left"/>
            </w:pPr>
          </w:p>
          <w:p w14:paraId="5F5BBBA0" w14:textId="77777777" w:rsidR="00547C4C" w:rsidRDefault="00000000">
            <w:pPr>
              <w:pStyle w:val="af5"/>
              <w:jc w:val="left"/>
            </w:pPr>
            <w:r>
              <w:t>Казак Т. В.</w:t>
            </w:r>
          </w:p>
          <w:p w14:paraId="5D39CCA1" w14:textId="77777777" w:rsidR="00547C4C" w:rsidRDefault="00547C4C">
            <w:pPr>
              <w:pStyle w:val="af5"/>
              <w:jc w:val="left"/>
            </w:pPr>
          </w:p>
          <w:p w14:paraId="0D6C1EB9" w14:textId="77777777" w:rsidR="00547C4C" w:rsidRDefault="00547C4C">
            <w:pPr>
              <w:pStyle w:val="af5"/>
              <w:jc w:val="left"/>
            </w:pPr>
          </w:p>
          <w:p w14:paraId="07E357B5" w14:textId="77777777" w:rsidR="00547C4C" w:rsidRDefault="00547C4C">
            <w:pPr>
              <w:pStyle w:val="af5"/>
              <w:jc w:val="left"/>
            </w:pPr>
          </w:p>
          <w:p w14:paraId="37A86C95" w14:textId="77777777" w:rsidR="00547C4C" w:rsidRDefault="00547C4C">
            <w:pPr>
              <w:pStyle w:val="af5"/>
              <w:jc w:val="left"/>
            </w:pPr>
          </w:p>
        </w:tc>
      </w:tr>
      <w:tr w:rsidR="00547C4C" w14:paraId="58A7964A" w14:textId="77777777">
        <w:trPr>
          <w:trHeight w:hRule="exact" w:val="585"/>
          <w:jc w:val="center"/>
        </w:trPr>
        <w:tc>
          <w:tcPr>
            <w:tcW w:w="9921" w:type="dxa"/>
            <w:gridSpan w:val="5"/>
            <w:vAlign w:val="bottom"/>
          </w:tcPr>
          <w:p w14:paraId="4D6C8E9A" w14:textId="77777777" w:rsidR="00547C4C" w:rsidRDefault="00000000">
            <w:pPr>
              <w:pStyle w:val="af5"/>
              <w:ind w:firstLine="0"/>
            </w:pPr>
            <w:r>
              <w:t>Минск 2026</w:t>
            </w:r>
          </w:p>
        </w:tc>
      </w:tr>
    </w:tbl>
    <w:p w14:paraId="39F406D4" w14:textId="454EF85A" w:rsidR="000E73CF" w:rsidRPr="000E73CF" w:rsidRDefault="00000000" w:rsidP="000E73CF">
      <w:pPr>
        <w:pStyle w:val="aff"/>
        <w:rPr>
          <w:lang w:val="ru-RU"/>
        </w:rPr>
      </w:pPr>
      <w:r>
        <w:lastRenderedPageBreak/>
        <w:t>C</w:t>
      </w:r>
      <w:r w:rsidRPr="000E73CF">
        <w:rPr>
          <w:lang w:val="ru-RU"/>
        </w:rPr>
        <w:t>ОДЕРЖАНИЕ</w:t>
      </w:r>
    </w:p>
    <w:p w14:paraId="4C8F60A7" w14:textId="51946DE1" w:rsidR="008C2773" w:rsidRDefault="000E73CF" w:rsidP="008C2773">
      <w:pPr>
        <w:pStyle w:val="11"/>
      </w:pPr>
      <w:r>
        <w:fldChar w:fldCharType="begin"/>
      </w:r>
      <w:r>
        <w:instrText xml:space="preserve"> TOC \o "1-3" \h \z \u </w:instrText>
      </w:r>
      <w:r>
        <w:fldChar w:fldCharType="separate"/>
      </w:r>
      <w:r w:rsidR="008C2773" w:rsidRPr="008C2773">
        <w:t xml:space="preserve"> </w:t>
      </w:r>
      <w:r w:rsidR="008C2773">
        <w:t>Введение</w:t>
      </w:r>
      <w:r w:rsidR="008C2773">
        <w:tab/>
        <w:t>3</w:t>
      </w:r>
    </w:p>
    <w:p w14:paraId="337BC2E8" w14:textId="77777777" w:rsidR="008C2773" w:rsidRDefault="008C2773" w:rsidP="008C2773">
      <w:pPr>
        <w:pStyle w:val="11"/>
      </w:pPr>
      <w:r>
        <w:t>1 Высшая школа Беларуси: становление и современное состояние</w:t>
      </w:r>
      <w:r>
        <w:tab/>
        <w:t>4</w:t>
      </w:r>
    </w:p>
    <w:p w14:paraId="2DF108C3" w14:textId="77777777" w:rsidR="008C2773" w:rsidRDefault="008C2773" w:rsidP="008C2773">
      <w:pPr>
        <w:pStyle w:val="21"/>
      </w:pPr>
      <w:r>
        <w:t>1.1 Исторические предпосылки становления высшего образования</w:t>
      </w:r>
      <w:r>
        <w:tab/>
        <w:t>4</w:t>
      </w:r>
    </w:p>
    <w:p w14:paraId="12E9E973" w14:textId="77777777" w:rsidR="008C2773" w:rsidRDefault="008C2773" w:rsidP="008C2773">
      <w:pPr>
        <w:pStyle w:val="21"/>
      </w:pPr>
      <w:r>
        <w:t>1.2 Современная система высшего образования Республики Беларусь</w:t>
      </w:r>
      <w:r>
        <w:tab/>
        <w:t>5</w:t>
      </w:r>
    </w:p>
    <w:p w14:paraId="32AD94A1" w14:textId="77777777" w:rsidR="008C2773" w:rsidRDefault="008C2773" w:rsidP="008C2773">
      <w:pPr>
        <w:pStyle w:val="11"/>
      </w:pPr>
      <w:r>
        <w:t>2 Болонский процесс и участие в нём Беларуси</w:t>
      </w:r>
      <w:r>
        <w:tab/>
        <w:t>7</w:t>
      </w:r>
    </w:p>
    <w:p w14:paraId="482BB2A3" w14:textId="77777777" w:rsidR="008C2773" w:rsidRDefault="008C2773" w:rsidP="008C2773">
      <w:pPr>
        <w:pStyle w:val="21"/>
      </w:pPr>
      <w:r>
        <w:t>2.1 Сущность и основные инструменты Болонского процесса</w:t>
      </w:r>
      <w:r>
        <w:tab/>
        <w:t>7</w:t>
      </w:r>
    </w:p>
    <w:p w14:paraId="4F71025D" w14:textId="77777777" w:rsidR="008C2773" w:rsidRDefault="008C2773" w:rsidP="008C2773">
      <w:pPr>
        <w:pStyle w:val="21"/>
      </w:pPr>
      <w:r>
        <w:t>2.2 Вступление Беларуси в Болонский процесс и дорожная карта</w:t>
      </w:r>
      <w:r>
        <w:tab/>
        <w:t>8</w:t>
      </w:r>
    </w:p>
    <w:p w14:paraId="3D7479E2" w14:textId="77777777" w:rsidR="008C2773" w:rsidRDefault="008C2773" w:rsidP="008C2773">
      <w:pPr>
        <w:pStyle w:val="11"/>
      </w:pPr>
      <w:r>
        <w:t>3 Модернизация высшей школы Беларуси в связи с Болонским процессом</w:t>
      </w:r>
      <w:r>
        <w:tab/>
        <w:t>10</w:t>
      </w:r>
    </w:p>
    <w:p w14:paraId="3874B39C" w14:textId="77777777" w:rsidR="008C2773" w:rsidRDefault="008C2773" w:rsidP="008C2773">
      <w:pPr>
        <w:pStyle w:val="21"/>
      </w:pPr>
      <w:r>
        <w:t>3.1 Смена образовательной парадигмы как концептуальная основа модернизации</w:t>
      </w:r>
      <w:r>
        <w:tab/>
        <w:t>10</w:t>
      </w:r>
    </w:p>
    <w:p w14:paraId="701B3FB6" w14:textId="77777777" w:rsidR="008C2773" w:rsidRDefault="008C2773" w:rsidP="008C2773">
      <w:pPr>
        <w:pStyle w:val="21"/>
      </w:pPr>
      <w:r>
        <w:t>3.2 Основные направления модернизации</w:t>
      </w:r>
      <w:r>
        <w:tab/>
        <w:t>11</w:t>
      </w:r>
    </w:p>
    <w:p w14:paraId="6068135D" w14:textId="77777777" w:rsidR="008C2773" w:rsidRDefault="008C2773" w:rsidP="008C2773">
      <w:pPr>
        <w:pStyle w:val="21"/>
      </w:pPr>
      <w:r>
        <w:t>3.3 Результаты, проблемы и перспективы модернизации</w:t>
      </w:r>
      <w:r>
        <w:tab/>
        <w:t>13</w:t>
      </w:r>
    </w:p>
    <w:p w14:paraId="13BBC682" w14:textId="77777777" w:rsidR="008C2773" w:rsidRDefault="008C2773" w:rsidP="008C2773">
      <w:pPr>
        <w:pStyle w:val="11"/>
      </w:pPr>
      <w:r>
        <w:t>Заключение</w:t>
      </w:r>
      <w:r>
        <w:tab/>
        <w:t>15</w:t>
      </w:r>
    </w:p>
    <w:p w14:paraId="25BB1609" w14:textId="301931B3" w:rsidR="008C2773" w:rsidRDefault="008C2773" w:rsidP="008C2773">
      <w:pPr>
        <w:pStyle w:val="11"/>
      </w:pPr>
      <w:r>
        <w:t>Список использованных источников</w:t>
      </w:r>
      <w:r>
        <w:tab/>
        <w:t>16</w:t>
      </w:r>
    </w:p>
    <w:p w14:paraId="27783FD2" w14:textId="15492293" w:rsidR="000E73CF" w:rsidRPr="000E73CF" w:rsidRDefault="000E73CF">
      <w:pPr>
        <w:pStyle w:val="11"/>
        <w:rPr>
          <w:rFonts w:ascii="Arial" w:eastAsia="Times New Roman" w:hAnsi="Arial"/>
          <w:bCs w:val="0"/>
          <w:noProof/>
          <w:kern w:val="2"/>
          <w:sz w:val="24"/>
          <w:szCs w:val="24"/>
          <w:lang w:eastAsia="ru-RU"/>
        </w:rPr>
      </w:pPr>
    </w:p>
    <w:p w14:paraId="61B6C00A" w14:textId="35087FAD" w:rsidR="000E73CF" w:rsidRDefault="000E73CF">
      <w:r>
        <w:rPr>
          <w:b/>
          <w:bCs/>
        </w:rPr>
        <w:fldChar w:fldCharType="end"/>
      </w:r>
    </w:p>
    <w:p w14:paraId="32491D41" w14:textId="77777777" w:rsidR="000E73CF" w:rsidRPr="000E73CF" w:rsidRDefault="000E73CF" w:rsidP="000E73CF"/>
    <w:p w14:paraId="525D678E" w14:textId="77777777" w:rsidR="00547C4C" w:rsidRDefault="00000000">
      <w:pPr>
        <w:pStyle w:val="afb"/>
        <w:pageBreakBefore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645A95B7" w14:textId="77777777" w:rsidR="00547C4C" w:rsidRDefault="00000000">
      <w:r>
        <w:t>Высшая школа является ключевым социальным институтом, обеспечивающим воспроизводство интеллектуального потенциала общества, подготовку квалифицированных специалистов и развитие фундаментальной и прикладной науки. В условиях динамичных изменений экономики, технологий и рынка труда именно система высшего образования во многом определяет конкурентоспособность государства и качество человеческого капитала. Не случайно реформирование высшей школы остаётся одним из приоритетных направлений государственной политики Республики Беларусь.</w:t>
      </w:r>
    </w:p>
    <w:p w14:paraId="022E733D" w14:textId="77777777" w:rsidR="00547C4C" w:rsidRDefault="00000000">
      <w:r>
        <w:t>Магистральным вектором развития европейского высшего образования на протяжении последних десятилетий выступает Болонский процесс – процесс гармонизации систем высшего образования европейских стран и формирования Единого европейского пространства высшего образования. Присоединение Беларуси к Болонскому процессу в мае 2015 года сделало модернизацию национальной высшей школы в соответствии с его принципами системной задачей государственной образовательной политики: были утверждены дорожная карта реформ и план мероприятий по её реализации, обновлены образовательные стандарты, начат поэтапный переход на кредитную технологию обучения.</w:t>
      </w:r>
    </w:p>
    <w:p w14:paraId="4B0791E6" w14:textId="77777777" w:rsidR="00547C4C" w:rsidRDefault="00000000">
      <w:r>
        <w:t>Целью настоящего реферата является анализ современного состояния высшей школы Беларуси и основных направлений её модернизации в связи с участием страны в Болонском процессе.</w:t>
      </w:r>
    </w:p>
    <w:p w14:paraId="7C74FADF" w14:textId="77777777" w:rsidR="00547C4C" w:rsidRDefault="00000000">
      <w:r>
        <w:t>Для достижения поставленной цели решаются следующие задачи:</w:t>
      </w:r>
    </w:p>
    <w:p w14:paraId="2EC93772" w14:textId="77777777" w:rsidR="00547C4C" w:rsidRDefault="00000000">
      <w:r>
        <w:t>– проследить становление и охарактеризовать современное состояние системы высшего образования Республики Беларусь;</w:t>
      </w:r>
    </w:p>
    <w:p w14:paraId="7860E2C2" w14:textId="77777777" w:rsidR="00547C4C" w:rsidRDefault="00000000">
      <w:r>
        <w:t>– раскрыть сущность Болонского процесса и основные этапы участия в нём Беларуси;</w:t>
      </w:r>
    </w:p>
    <w:p w14:paraId="37E81E38" w14:textId="77777777" w:rsidR="00547C4C" w:rsidRDefault="00000000">
      <w:r>
        <w:t>– проанализировать ключевые направления модернизации белорусской высшей школы, включая смену образовательной парадигмы и внедрение основных инструментов Болонского процесса;</w:t>
      </w:r>
    </w:p>
    <w:p w14:paraId="5EDC19FE" w14:textId="77777777" w:rsidR="00547C4C" w:rsidRDefault="00000000">
      <w:r>
        <w:t>– обобщить достигнутые результаты и выделить проблемы модернизации.</w:t>
      </w:r>
    </w:p>
    <w:p w14:paraId="3CDE0256" w14:textId="77777777" w:rsidR="00547C4C" w:rsidRDefault="00000000">
      <w:r>
        <w:t>Теоретическую основу реферата составили нормативные правовые акты Республики Беларусь в сфере образования, документы Болонского процесса, материалы электронного учебно-методического комплекса «Педагогика и психология высшего образования» и статистические данные Национального статистического комитета Республики Беларусь.</w:t>
      </w:r>
    </w:p>
    <w:p w14:paraId="2C0C67A6" w14:textId="77777777" w:rsidR="00547C4C" w:rsidRDefault="00000000">
      <w:pPr>
        <w:pStyle w:val="1"/>
        <w:pageBreakBefore/>
      </w:pPr>
      <w:bookmarkStart w:id="0" w:name="_Toc240732564"/>
      <w:r>
        <w:lastRenderedPageBreak/>
        <w:t>Высшая школа Беларуси: становление и современное состояние</w:t>
      </w:r>
      <w:bookmarkEnd w:id="0"/>
    </w:p>
    <w:p w14:paraId="72F10CF0" w14:textId="77777777" w:rsidR="00547C4C" w:rsidRDefault="00000000">
      <w:pPr>
        <w:pStyle w:val="2"/>
      </w:pPr>
      <w:bookmarkStart w:id="1" w:name="_Toc240732565"/>
      <w:r>
        <w:t>Исторические предпосылки становления высшего образования</w:t>
      </w:r>
      <w:bookmarkEnd w:id="1"/>
    </w:p>
    <w:p w14:paraId="248A57E3" w14:textId="77777777" w:rsidR="00547C4C" w:rsidRDefault="00000000">
      <w:r>
        <w:t>Педагогические традиции белорусских земель уходят корнями в древность. Уже в IX–XIII вв. в составе Туровского и Полоцкого княжеств сложились значительные центры просвещения – Туров, Полоцк, Витебск, Пинск, Минск, Слоним, действовали монастырские и соборные школы, а важную роль в распространении письменности и грамотности сыграли такие просветители, как Евфросиния Полоцкая и Кирилл Туровский. Значительное влияние на культуру и образование оказало христианство, а также контакты с Византией, Болгарией и другими европейскими государствами.</w:t>
      </w:r>
    </w:p>
    <w:p w14:paraId="6A5A6D50" w14:textId="77777777" w:rsidR="00547C4C" w:rsidRDefault="00000000">
      <w:r>
        <w:t xml:space="preserve">В период Великого княжества Литовского на белорусских землях сложилась разветвлённая система учебных заведений различного типа. Наряду с католическими и униатскими школами широкое развитие получили православные братские школы, отличавшиеся демократическим характером обучения и гуманистической направленностью: в них обучались дети крестьян, мещан и шляхты, действовали выборность и подотчётность учителей. Значительный вклад в развитие отечественного просвещения внесли Франциск Скорина, Николай </w:t>
      </w:r>
      <w:proofErr w:type="spellStart"/>
      <w:r>
        <w:t>Гусовский</w:t>
      </w:r>
      <w:proofErr w:type="spellEnd"/>
      <w:r>
        <w:t xml:space="preserve">, Симон </w:t>
      </w:r>
      <w:proofErr w:type="spellStart"/>
      <w:r>
        <w:t>Будный</w:t>
      </w:r>
      <w:proofErr w:type="spellEnd"/>
      <w:r>
        <w:t xml:space="preserve">, Василий Тяпинский, братья </w:t>
      </w:r>
      <w:proofErr w:type="spellStart"/>
      <w:r>
        <w:t>Зизании</w:t>
      </w:r>
      <w:proofErr w:type="spellEnd"/>
      <w:r>
        <w:t>, Симеон Полоцкий. Первым высшим учебным заведением на территории современной Беларуси стала открытая в 1579 году Виленская иезуитская академия (впоследствии – университет), образовательная система которой отличалась классно-урочной организацией и семинарской формой обучения.</w:t>
      </w:r>
    </w:p>
    <w:p w14:paraId="2A208BB4" w14:textId="77777777" w:rsidR="00547C4C" w:rsidRDefault="00000000">
      <w:r>
        <w:t>После вхождения белорусских земель в состав Российской империи была проведена школьная реформа 1786 года, введена трёхступенчатая система образования со светской направленностью обучения. Однако высших учебных заведений на территории Беларуси в XIX – начале XX в. фактически не было: высшее образование подданные Российской империи получали преимущественно в университетах Москвы, Петербурга, Вильно и Киева. Советский период ознаменовался созданием национальной системы высшей школы: в 1921 году был открыт Белорусский государственный университет, ставший ядром формирующейся системы вузов, в последующие десятилетия сеть учреждений высшего образования стремительно расширялась, что обеспечило переход к массовому высшему образованию и подготовку кадров для индустриализации республики.</w:t>
      </w:r>
    </w:p>
    <w:p w14:paraId="3D9C329C" w14:textId="77777777" w:rsidR="00547C4C" w:rsidRDefault="00000000">
      <w:r>
        <w:t xml:space="preserve">После обретения независимости в 1991 году началось формирование суверенной национальной системы высшего образования, завершившееся кодификацией образовательного законодательства: в 2011 году был принят Кодекс Республики Беларусь об образовании, в новой редакции 2022 года </w:t>
      </w:r>
      <w:r>
        <w:lastRenderedPageBreak/>
        <w:t>закрепивший в том числе институты электронного обучения и академической мобильности.</w:t>
      </w:r>
    </w:p>
    <w:p w14:paraId="2C4E69AF" w14:textId="77777777" w:rsidR="00547C4C" w:rsidRDefault="00000000">
      <w:pPr>
        <w:pStyle w:val="2"/>
      </w:pPr>
      <w:bookmarkStart w:id="2" w:name="_Toc240732566"/>
      <w:r>
        <w:t>Современная система высшего образования Республики Беларусь</w:t>
      </w:r>
      <w:bookmarkEnd w:id="2"/>
    </w:p>
    <w:p w14:paraId="57391E56" w14:textId="77777777" w:rsidR="00547C4C" w:rsidRDefault="00000000">
      <w:r>
        <w:t>Современная правовая основа функционирования высшей школы Беларуси включает Конституцию Республики Беларусь, гарантирующую право на образование, Кодекс Республики Беларусь об образовании, образовательные стандарты и иные нормативные акты. Управление системой осуществляется Министерством образования Республики Беларусь и республиканскими органами государственного управления, в ведении которых находятся соответствующие учреждения высшего образования.</w:t>
      </w:r>
    </w:p>
    <w:p w14:paraId="454DB92F" w14:textId="77777777" w:rsidR="00547C4C" w:rsidRDefault="00000000">
      <w:r>
        <w:t>Высшее образование в Беларуси реализуется на двух ступенях. Первая ступень (подготовка специалистов, 4–5 лет обучения) завершается присвоением квалификации специалиста с выдачей диплома; вторая ступень (магистратура, 1–2 года) ориентирована на углубление профессиональной подготовки, формирование исследовательских компетенций и обеспечивает право на обучение в аспирантуре. К послевузовскому образованию относятся аспирантура (адъюнктура) и докторантура. Обучение осуществляется в очной (дневной) и заочной формах, при этом дистанционная форма рассматривается законодателем как самостоятельная форма получения высшего образования.</w:t>
      </w:r>
    </w:p>
    <w:p w14:paraId="51C62826" w14:textId="77777777" w:rsidR="00547C4C" w:rsidRDefault="00000000">
      <w:r>
        <w:t>Сеть учреждений высшего образования включает классические и профильные университеты, академии, институты и высшие колледжи, находящиеся в государственной и частной собственности. Подавляющее большинство вузов (около 90 %) являются государственными и подведомственны более чем десяти министерствам и ведомствам. По данным Национального статистического комитета, на начало 2024/2025 учебного года в Беларуси функционировало 47 учреждений высшего образования (43 государственных и 4 частных), в которых обучалось около 224 тыс. студентов. Динамика последних лет характеризуется сокращением численности студентов первой ступени, обусловленным прежде всего демографическими факторами, а также усилением конкуренции за абитуриентов и международных студентов. Приём на первую ступень осуществляется по результатам централизованного экзамена и централизованного тестирования; действует десятибалльная система оценивания знаний, учебный год традиционно строится по семестровой схеме с сессионной аттестацией.</w:t>
      </w:r>
    </w:p>
    <w:p w14:paraId="39FF1F1C" w14:textId="363A209A" w:rsidR="00547C4C" w:rsidRDefault="00000000">
      <w:r>
        <w:t xml:space="preserve">Контроль качества образования обеспечивается системой государственного нормирования (образовательные стандарты, учебные планы), лицензированием и государственной итоговой аттестацией; создана Государственная инспекция контроля качества высшего образования. Ведущими центрами высшей школы являются Белорусский государственный университет, имеющий статус ведущего национального университета, а также профильные университеты – БГУИР, БГТУ, </w:t>
      </w:r>
      <w:r>
        <w:lastRenderedPageBreak/>
        <w:t>БГМУ, БГЭУ и другие, обеспечивающие подготовку специалистов по широкому спектру направлений.</w:t>
      </w:r>
    </w:p>
    <w:p w14:paraId="0B593ED4" w14:textId="77777777" w:rsidR="00547C4C" w:rsidRDefault="00000000">
      <w:r>
        <w:t>В целом к моменту присоединения к Болонскому процессу белорусская высшая школа представляла собой развитую, централизованно управляемую систему с высокой доступностью образования и традиционно сильной инженерной подготовкой, однако с недостаточной гибкостью учебных планов, слабой степенью автономии вузов и ограниченными возможностями признания квалификаций за рубежом, что и определило основные направления предстоящих реформ.</w:t>
      </w:r>
    </w:p>
    <w:p w14:paraId="79CC13B1" w14:textId="77777777" w:rsidR="00547C4C" w:rsidRDefault="00000000">
      <w:pPr>
        <w:pStyle w:val="1"/>
        <w:pageBreakBefore/>
      </w:pPr>
      <w:bookmarkStart w:id="3" w:name="_Toc240732567"/>
      <w:r>
        <w:lastRenderedPageBreak/>
        <w:t>Болонский процесс и участие в нём Беларуси</w:t>
      </w:r>
      <w:bookmarkEnd w:id="3"/>
    </w:p>
    <w:p w14:paraId="251C74D9" w14:textId="77777777" w:rsidR="00547C4C" w:rsidRDefault="00000000">
      <w:pPr>
        <w:pStyle w:val="2"/>
      </w:pPr>
      <w:bookmarkStart w:id="4" w:name="_Toc240732568"/>
      <w:r>
        <w:t>Сущность и основные инструменты Болонского процесса</w:t>
      </w:r>
      <w:bookmarkEnd w:id="4"/>
    </w:p>
    <w:p w14:paraId="4FBB72EF" w14:textId="77777777" w:rsidR="00547C4C" w:rsidRDefault="00000000">
      <w:r>
        <w:t xml:space="preserve">Болонский процесс – это процесс сближения и гармонизации систем высшего образования европейских стран с целью создания единого европейского пространства высшего образования (ЕПВО). Его началом принято считать подписание в 1999 году в Болонье совместной декларации европейских министров образования, к которой первоначально присоединились 29 государств. Идейными предшественниками Болонской декларации стали Великая хартия университетов (1988) и </w:t>
      </w:r>
      <w:proofErr w:type="spellStart"/>
      <w:r>
        <w:t>Сорбоннская</w:t>
      </w:r>
      <w:proofErr w:type="spellEnd"/>
      <w:r>
        <w:t xml:space="preserve"> декларация (1998). К 2010 году, когда ЕПВО было формально провозглашено созданным, к процессу присоединилось большинство европейских государств; сегодня его участниками являются около полусотни стран, а координацию осуществляют регулярные конференции министров и </w:t>
      </w:r>
      <w:proofErr w:type="spellStart"/>
      <w:r>
        <w:t>Брюггетская</w:t>
      </w:r>
      <w:proofErr w:type="spellEnd"/>
      <w:r>
        <w:t xml:space="preserve"> группа, опирающаяся на работу Болонской группы последующего действия (BFUG).</w:t>
      </w:r>
    </w:p>
    <w:p w14:paraId="65352D50" w14:textId="77777777" w:rsidR="00547C4C" w:rsidRDefault="00000000">
      <w:r>
        <w:t>Основными инструментами и принципами Болонского процесса являются:</w:t>
      </w:r>
    </w:p>
    <w:p w14:paraId="441844E2" w14:textId="77777777" w:rsidR="00547C4C" w:rsidRDefault="00000000">
      <w:r>
        <w:t xml:space="preserve">– </w:t>
      </w:r>
      <w:proofErr w:type="spellStart"/>
      <w:r>
        <w:t>трёхцикловая</w:t>
      </w:r>
      <w:proofErr w:type="spellEnd"/>
      <w:r>
        <w:t xml:space="preserve"> система степеней (бакалавриат – магистратура – докторантура) с сопоставимыми уровнями квалификаций;</w:t>
      </w:r>
    </w:p>
    <w:p w14:paraId="72175E60" w14:textId="77777777" w:rsidR="00547C4C" w:rsidRDefault="00000000">
      <w:r>
        <w:t xml:space="preserve">– система </w:t>
      </w:r>
      <w:proofErr w:type="spellStart"/>
      <w:r>
        <w:t>перезачёта</w:t>
      </w:r>
      <w:proofErr w:type="spellEnd"/>
      <w:r>
        <w:t xml:space="preserve"> кредитов ECTS, при которой один учебный год оценивается в 60 зачётных единиц, что обеспечивает сопоставимость объёма и содержания обучения;</w:t>
      </w:r>
    </w:p>
    <w:p w14:paraId="058C85A2" w14:textId="77777777" w:rsidR="00547C4C" w:rsidRDefault="00000000">
      <w:r>
        <w:t>– приложение к диплому (</w:t>
      </w:r>
      <w:proofErr w:type="spellStart"/>
      <w:r>
        <w:t>Diploma</w:t>
      </w:r>
      <w:proofErr w:type="spellEnd"/>
      <w:r>
        <w:t xml:space="preserve"> </w:t>
      </w:r>
      <w:proofErr w:type="spellStart"/>
      <w:r>
        <w:t>Supplement</w:t>
      </w:r>
      <w:proofErr w:type="spellEnd"/>
      <w:r>
        <w:t xml:space="preserve">) – единообразное </w:t>
      </w:r>
      <w:proofErr w:type="spellStart"/>
      <w:r>
        <w:t>международно</w:t>
      </w:r>
      <w:proofErr w:type="spellEnd"/>
      <w:r>
        <w:t xml:space="preserve"> признаваемое описание квалификации;</w:t>
      </w:r>
    </w:p>
    <w:p w14:paraId="7AEF5BF5" w14:textId="77777777" w:rsidR="00547C4C" w:rsidRDefault="00000000">
      <w:r>
        <w:t>– стандарты и рекомендации по обеспечению качества высшего образования (ESG), независимая внешняя оценка качества и европейский реестр агентств по гарантии качества (EQAR);</w:t>
      </w:r>
    </w:p>
    <w:p w14:paraId="4BA7CA7A" w14:textId="77777777" w:rsidR="00547C4C" w:rsidRDefault="00000000">
      <w:r>
        <w:t>– признание квалификаций на основе Лиссабонской конвенции о признании квалификаций, относящихся к высшему образованию в Европейском регионе (1997);</w:t>
      </w:r>
    </w:p>
    <w:p w14:paraId="7F0F898D" w14:textId="77777777" w:rsidR="00547C4C" w:rsidRDefault="00000000">
      <w:r>
        <w:t>– академическая мобильность студентов и персонала, устранение барьеров для свободного передвижения обучающихся;</w:t>
      </w:r>
    </w:p>
    <w:p w14:paraId="121CE142" w14:textId="77777777" w:rsidR="00547C4C" w:rsidRDefault="00000000">
      <w:r>
        <w:t>– социальное измерение высшего образования, включающее равенство доступа, участие студентов в управлении и социальную поддержку.</w:t>
      </w:r>
    </w:p>
    <w:p w14:paraId="78FA5E57" w14:textId="77777777" w:rsidR="00547C4C" w:rsidRDefault="00000000">
      <w:r>
        <w:t xml:space="preserve">Концептуальной основой Болонского процесса выступает переход от </w:t>
      </w:r>
      <w:proofErr w:type="spellStart"/>
      <w:r>
        <w:t>знаниевой</w:t>
      </w:r>
      <w:proofErr w:type="spellEnd"/>
      <w:r>
        <w:t xml:space="preserve"> к компетентностной модели образования: результатом обучения признаются не суммы знаний, умений и навыков, а сформированные компетенции, способные быть перенесёнными в профессиональный контекст и подтверждёнными независимо от того, где именно они были получены. Тем самым Болонский процесс закрепляет смену образовательной парадигмы, о которой пойдёт речь в разделе 3.</w:t>
      </w:r>
    </w:p>
    <w:p w14:paraId="380226BE" w14:textId="77777777" w:rsidR="00547C4C" w:rsidRDefault="00000000">
      <w:pPr>
        <w:pStyle w:val="2"/>
      </w:pPr>
      <w:bookmarkStart w:id="5" w:name="_Toc240732569"/>
      <w:r>
        <w:lastRenderedPageBreak/>
        <w:t>Вступление Беларуси в Болонский процесс и дорожная карта</w:t>
      </w:r>
      <w:bookmarkEnd w:id="5"/>
    </w:p>
    <w:p w14:paraId="459519AB" w14:textId="77777777" w:rsidR="00547C4C" w:rsidRDefault="00000000">
      <w:r>
        <w:t>Интеграция белорусской высшей школы в европейское образовательное пространство готовилась постепенно: вузы Беларуси участвовали в международных проектах и программах сотрудничества, осуществлялся обмен студентами и преподавателями. Ключевым правовым условием вступления в ЕПВО стало присоединение к Лиссабонской конвенции о признании квалификаций, ратифицированной Беларусью в 2015 году.</w:t>
      </w:r>
    </w:p>
    <w:p w14:paraId="04069C60" w14:textId="77777777" w:rsidR="00547C4C" w:rsidRDefault="00000000">
      <w:r>
        <w:t xml:space="preserve">14–15 мая 2015 года на конференции министров образования стран-участниц Болонского процесса в Ереване Беларусь была официально принята в Болонский процесс и стала 48-м участником Единого европейского пространства высшего образования. Вместе с тем присоединение носило условный характер: страной-новичком была принята «Дорожная карта по проведению Беларусью реформы системы высшего образования», содержавшая перечень конкретных обязательств со сроками их выполнения (преимущественно до 2018 года). Дорожная карта предусматривала завершение построения </w:t>
      </w:r>
      <w:proofErr w:type="spellStart"/>
      <w:r>
        <w:t>трёхцикловой</w:t>
      </w:r>
      <w:proofErr w:type="spellEnd"/>
      <w:r>
        <w:t xml:space="preserve"> системы степеней, внедрение ECTS-совместимой системы зачёта, выдачу европейского приложения к диплому, создание независимого агентства по гарантии качества образования, обеспечение автономии вузов, расширение академической мобильности и участие студентов в управлении высшим образованием. Для координации выполнения обязательств постановлением Совета Министров Республики Беларусь в 2016 году был утверждён план мероприятий по реализации дорожной карты с закреплением ответственных органов управления.</w:t>
      </w:r>
    </w:p>
    <w:p w14:paraId="0CA9CDE5" w14:textId="77777777" w:rsidR="00547C4C" w:rsidRDefault="00000000">
      <w:r>
        <w:t>Первоначальный период членства ознаменовался заметным продвижением: обновлялись образовательные стандарты на основе компетентностного подхода, вводилась кредитная технология, вузы начали выдавать приложения к дипломам европейского образца, расширилось участие белорусских университетов в международных проектах. Вместе с тем уже в 2018 году международные эксперты констатировали отставание по ряду направлений, прежде всего в части создания независимой системы внешней оценки качества и расширения автономии вузов.</w:t>
      </w:r>
    </w:p>
    <w:p w14:paraId="694C7473" w14:textId="77777777" w:rsidR="00547C4C" w:rsidRDefault="00000000">
      <w:r>
        <w:t xml:space="preserve">Со второй половины 2021 года участие Беларуси в Болонском процессе осложнилось политическими факторами: в декабре 2021 года белорусская сторона была отстранена от работы в руководящих органах Болонской группы последующего действия, а в 2022 году участие представителей Беларуси в мероприятиях ЕПВО было приостановлено. Формально членство Беларуси в Болонском процессе не прекращено: страна сохраняет статус участницы ЕПВО, а национальная образовательная политика продолжает опираться на ранее принятые обязательства – как отметило Министерство образования Республики Беларусь, реализация принципов Болонского процесса сохраняет значение для качества и конкурентоспособности белорусского высшего образования. Таким </w:t>
      </w:r>
      <w:r>
        <w:lastRenderedPageBreak/>
        <w:t>образом, современный этап характеризуется сочетанием технической приостановки европейского представительства и продолжения внутренней модернизации высшей школы.</w:t>
      </w:r>
    </w:p>
    <w:p w14:paraId="351C4AB3" w14:textId="77777777" w:rsidR="00547C4C" w:rsidRDefault="00000000">
      <w:pPr>
        <w:pStyle w:val="1"/>
        <w:pageBreakBefore/>
      </w:pPr>
      <w:bookmarkStart w:id="6" w:name="_Toc240732570"/>
      <w:r>
        <w:lastRenderedPageBreak/>
        <w:t>Модернизация высшей школы Беларуси в связи с Болонским процессом</w:t>
      </w:r>
      <w:bookmarkEnd w:id="6"/>
    </w:p>
    <w:p w14:paraId="196A9696" w14:textId="77777777" w:rsidR="00547C4C" w:rsidRDefault="00000000">
      <w:pPr>
        <w:pStyle w:val="2"/>
      </w:pPr>
      <w:bookmarkStart w:id="7" w:name="_Toc240732571"/>
      <w:r>
        <w:t>Смена образовательной парадигмы как концептуальная основа модернизации</w:t>
      </w:r>
      <w:bookmarkEnd w:id="7"/>
    </w:p>
    <w:p w14:paraId="291FBF00" w14:textId="77777777" w:rsidR="00547C4C" w:rsidRDefault="00000000">
      <w:r>
        <w:t>Понятие «парадигма» (от греч. «образец») было введено в науковедение Т. Куном в 1962 году и означает признанные всеми научные достижения, которые в течение определённого времени дают модель постановки проблем и их решения научному сообществу. Применительно к образованию парадигмальный подход позволяет выделить исторически сменяющие друг друга модели образовательной деятельности, определяющие её цели, содержание, характер отношений педагога и обучающегося.</w:t>
      </w:r>
    </w:p>
    <w:p w14:paraId="41EF39EB" w14:textId="77777777" w:rsidR="00547C4C" w:rsidRDefault="00000000">
      <w:r>
        <w:t xml:space="preserve">В педагогике высшей школы традиционно противопоставляются классическая (традиционная, </w:t>
      </w:r>
      <w:proofErr w:type="spellStart"/>
      <w:r>
        <w:t>знаниевая</w:t>
      </w:r>
      <w:proofErr w:type="spellEnd"/>
      <w:r>
        <w:t>) и гуманистическая (субъект-субъектная, личностно ориентированная) парадигмы. Классическая парадигма рассматривает образование как передачу обучаемому готовых образцов знаний, умений и навыков, обеспечивает подготовку подрастающего поколения к жизни и труду, трактует человека как простую систему, а студента – как объект педагогического воздействия. Гуманистическая парадигма, напротив, основной миссией образования считает обеспечение условий самоопределения и самореализации личности: человек рассматривается как сложная система, знания – как средство развития мышления («школа мышления» вместо «школы памяти»), студент становится субъектом познавательной деятельности, а отношения педагога и обучающегося приобретают субъект-субъектный, диалогический характер. Сравнительная характеристика парадигм представлена в таблице 3.1.</w:t>
      </w:r>
    </w:p>
    <w:p w14:paraId="0FCCDAAD" w14:textId="77777777" w:rsidR="0032692F" w:rsidRDefault="0032692F"/>
    <w:p w14:paraId="118DBAD3" w14:textId="77777777" w:rsidR="00547C4C" w:rsidRPr="0032692F" w:rsidRDefault="00000000">
      <w:pPr>
        <w:pStyle w:val="afd"/>
        <w:rPr>
          <w:lang w:val="ru-RU"/>
        </w:rPr>
      </w:pPr>
      <w:r w:rsidRPr="0032692F">
        <w:rPr>
          <w:lang w:val="ru-RU"/>
        </w:rPr>
        <w:t>Таблица 3.1 – Сравнение классической и гуманистической образовательных парадигм</w:t>
      </w:r>
    </w:p>
    <w:tbl>
      <w:tblPr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452"/>
        <w:gridCol w:w="3842"/>
        <w:gridCol w:w="3843"/>
      </w:tblGrid>
      <w:tr w:rsidR="00547C4C" w14:paraId="0212FAB3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4EAF3" w14:textId="77777777" w:rsidR="00547C4C" w:rsidRDefault="00000000">
            <w:pPr>
              <w:pStyle w:val="52"/>
              <w:ind w:firstLine="0"/>
              <w:jc w:val="center"/>
            </w:pPr>
            <w:r>
              <w:t>Линия сравнения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62BE4" w14:textId="77777777" w:rsidR="00547C4C" w:rsidRDefault="00000000">
            <w:pPr>
              <w:pStyle w:val="52"/>
              <w:ind w:firstLine="0"/>
              <w:jc w:val="center"/>
            </w:pPr>
            <w:r>
              <w:t>Классическая парадигма</w:t>
            </w:r>
          </w:p>
        </w:tc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EABD5" w14:textId="77777777" w:rsidR="00547C4C" w:rsidRDefault="00000000">
            <w:pPr>
              <w:pStyle w:val="52"/>
              <w:ind w:firstLine="0"/>
              <w:jc w:val="center"/>
            </w:pPr>
            <w:r>
              <w:t>Гуманистическая парадигма</w:t>
            </w:r>
          </w:p>
        </w:tc>
      </w:tr>
      <w:tr w:rsidR="00547C4C" w14:paraId="1682036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86338" w14:textId="77777777" w:rsidR="00547C4C" w:rsidRDefault="00000000">
            <w:pPr>
              <w:ind w:firstLine="0"/>
              <w:jc w:val="left"/>
            </w:pPr>
            <w:r>
              <w:t>Основная миссия образования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32C0C" w14:textId="77777777" w:rsidR="00547C4C" w:rsidRDefault="00000000">
            <w:pPr>
              <w:ind w:firstLine="0"/>
              <w:jc w:val="left"/>
            </w:pPr>
            <w:r>
              <w:t>Подготовка подрастающего поколения к жизни и к труду</w:t>
            </w:r>
          </w:p>
        </w:tc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8487" w14:textId="77777777" w:rsidR="00547C4C" w:rsidRDefault="00000000">
            <w:pPr>
              <w:ind w:firstLine="0"/>
              <w:jc w:val="left"/>
            </w:pPr>
            <w:r>
              <w:t>Обеспечение условий самоопределения и самореализации</w:t>
            </w:r>
          </w:p>
        </w:tc>
      </w:tr>
      <w:tr w:rsidR="00547C4C" w14:paraId="240F024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9CCAE" w14:textId="77777777" w:rsidR="00547C4C" w:rsidRDefault="00000000">
            <w:pPr>
              <w:ind w:firstLine="0"/>
              <w:jc w:val="left"/>
            </w:pPr>
            <w:r>
              <w:t>Человек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DFA84" w14:textId="77777777" w:rsidR="00547C4C" w:rsidRDefault="00000000">
            <w:pPr>
              <w:ind w:firstLine="0"/>
              <w:jc w:val="left"/>
            </w:pPr>
            <w:r>
              <w:t>Рассматривается как простая система</w:t>
            </w:r>
          </w:p>
        </w:tc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0627C" w14:textId="77777777" w:rsidR="00547C4C" w:rsidRDefault="00000000">
            <w:pPr>
              <w:ind w:firstLine="0"/>
              <w:jc w:val="left"/>
            </w:pPr>
            <w:r>
              <w:t>Рассматривается как сложная система</w:t>
            </w:r>
          </w:p>
        </w:tc>
      </w:tr>
      <w:tr w:rsidR="00547C4C" w14:paraId="2BC6BC6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C984" w14:textId="77777777" w:rsidR="00547C4C" w:rsidRDefault="00000000">
            <w:pPr>
              <w:ind w:firstLine="0"/>
              <w:jc w:val="left"/>
            </w:pPr>
            <w:r>
              <w:t>Знания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AB7B9" w14:textId="77777777" w:rsidR="00547C4C" w:rsidRDefault="00000000">
            <w:pPr>
              <w:ind w:firstLine="0"/>
              <w:jc w:val="left"/>
            </w:pPr>
            <w:r>
              <w:t>Опыт предыдущих поколений, «школа памяти»</w:t>
            </w:r>
          </w:p>
        </w:tc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72E45" w14:textId="77777777" w:rsidR="00547C4C" w:rsidRDefault="00000000">
            <w:pPr>
              <w:ind w:firstLine="0"/>
              <w:jc w:val="left"/>
            </w:pPr>
            <w:r>
              <w:t>Предвидение будущего, «школа мышления»</w:t>
            </w:r>
          </w:p>
        </w:tc>
      </w:tr>
      <w:tr w:rsidR="00547C4C" w14:paraId="47613EE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74D49" w14:textId="77777777" w:rsidR="00547C4C" w:rsidRDefault="00000000">
            <w:pPr>
              <w:ind w:firstLine="0"/>
              <w:jc w:val="left"/>
            </w:pPr>
            <w:r>
              <w:lastRenderedPageBreak/>
              <w:t>Образование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C9907" w14:textId="77777777" w:rsidR="00547C4C" w:rsidRDefault="00000000">
            <w:pPr>
              <w:ind w:firstLine="0"/>
              <w:jc w:val="left"/>
            </w:pPr>
            <w:r>
              <w:t>Передача обучаемому готовых образцов знаний, умений и навыков</w:t>
            </w:r>
          </w:p>
        </w:tc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75B29" w14:textId="77777777" w:rsidR="00547C4C" w:rsidRDefault="00000000">
            <w:pPr>
              <w:ind w:firstLine="0"/>
              <w:jc w:val="left"/>
            </w:pPr>
            <w:r>
              <w:t>Создание человеком образа мира в себе самом посредством активного полагания себя в мир предметной, социальной и духовной культуры</w:t>
            </w:r>
          </w:p>
        </w:tc>
      </w:tr>
      <w:tr w:rsidR="00547C4C" w14:paraId="28111B3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66234" w14:textId="77777777" w:rsidR="00547C4C" w:rsidRDefault="00000000">
            <w:pPr>
              <w:ind w:firstLine="0"/>
              <w:jc w:val="left"/>
            </w:pPr>
            <w:r>
              <w:t>Студент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259A2" w14:textId="77777777" w:rsidR="00547C4C" w:rsidRDefault="00000000">
            <w:pPr>
              <w:ind w:firstLine="0"/>
              <w:jc w:val="left"/>
            </w:pPr>
            <w:r>
              <w:t>Объект педагогического воздействия, обучаемый</w:t>
            </w:r>
          </w:p>
        </w:tc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54F55" w14:textId="77777777" w:rsidR="00547C4C" w:rsidRDefault="00000000">
            <w:pPr>
              <w:ind w:firstLine="0"/>
              <w:jc w:val="left"/>
            </w:pPr>
            <w:r>
              <w:t>Субъект познавательной деятельности, обучающийся</w:t>
            </w:r>
          </w:p>
        </w:tc>
      </w:tr>
      <w:tr w:rsidR="00547C4C" w14:paraId="09F015C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D9D4" w14:textId="77777777" w:rsidR="00547C4C" w:rsidRDefault="00000000">
            <w:pPr>
              <w:ind w:firstLine="0"/>
              <w:jc w:val="left"/>
            </w:pPr>
            <w:r>
              <w:t>Отношения педагога и студента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D683E" w14:textId="77777777" w:rsidR="00547C4C" w:rsidRDefault="00000000">
            <w:pPr>
              <w:ind w:firstLine="0"/>
              <w:jc w:val="left"/>
            </w:pPr>
            <w:r>
              <w:t>Субъект-объектные, монологические</w:t>
            </w:r>
          </w:p>
        </w:tc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4DE48" w14:textId="77777777" w:rsidR="00547C4C" w:rsidRDefault="00000000">
            <w:pPr>
              <w:ind w:firstLine="0"/>
              <w:jc w:val="left"/>
            </w:pPr>
            <w:r>
              <w:t>Субъект-субъектные, диалогические</w:t>
            </w:r>
          </w:p>
        </w:tc>
      </w:tr>
      <w:tr w:rsidR="00547C4C" w14:paraId="37630C1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00773" w14:textId="77777777" w:rsidR="00547C4C" w:rsidRDefault="00000000">
            <w:pPr>
              <w:ind w:firstLine="0"/>
              <w:jc w:val="left"/>
            </w:pPr>
            <w:r>
              <w:t>Образовательная деятельность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AB249" w14:textId="77777777" w:rsidR="00547C4C" w:rsidRDefault="00000000">
            <w:pPr>
              <w:ind w:firstLine="0"/>
              <w:jc w:val="left"/>
            </w:pPr>
            <w:r>
              <w:t>Репродуктивная (ответная)</w:t>
            </w:r>
          </w:p>
        </w:tc>
        <w:tc>
          <w:tcPr>
            <w:tcW w:w="3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6A48A" w14:textId="77777777" w:rsidR="00547C4C" w:rsidRDefault="00000000">
            <w:pPr>
              <w:ind w:firstLine="0"/>
              <w:jc w:val="left"/>
            </w:pPr>
            <w:r>
              <w:t>Активная познавательная</w:t>
            </w:r>
          </w:p>
        </w:tc>
      </w:tr>
    </w:tbl>
    <w:p w14:paraId="6DD38C8B" w14:textId="77777777" w:rsidR="00547C4C" w:rsidRDefault="00547C4C"/>
    <w:p w14:paraId="67C3A78E" w14:textId="77777777" w:rsidR="00547C4C" w:rsidRDefault="00000000">
      <w:r>
        <w:t>Именно переход от классической к гуманистической парадигме составляет концептуальное ядро современной модернизации высшей школы: Болонский процесс с его компетентностным подходом, кредитной технологией и ориентацией на самостоятельную работу студента может быть реализован только в логике субъект-субъектного взаимодействия, при котором преподаватель выступает организатором и консультантом познавательной деятельности, а студент – её активным субъектом. В этом смысле реформы высшего образования в Беларуси направлены не только на формальную гармонизацию структур и документов, но и на качественное изменение самой модели обучения.</w:t>
      </w:r>
    </w:p>
    <w:p w14:paraId="57FFE48D" w14:textId="77777777" w:rsidR="00547C4C" w:rsidRDefault="00000000">
      <w:pPr>
        <w:pStyle w:val="2"/>
      </w:pPr>
      <w:bookmarkStart w:id="8" w:name="_Toc240732572"/>
      <w:r>
        <w:t>Основные направления модернизации</w:t>
      </w:r>
      <w:bookmarkEnd w:id="8"/>
    </w:p>
    <w:p w14:paraId="0EEFD9A1" w14:textId="77777777" w:rsidR="00547C4C" w:rsidRDefault="00000000">
      <w:r>
        <w:t>Модернизация высшей школы Беларуси в связи с участием в Болонском процессе реализуется по нескольким взаимосвязанным направлениям.</w:t>
      </w:r>
    </w:p>
    <w:p w14:paraId="227CB840" w14:textId="77777777" w:rsidR="00547C4C" w:rsidRDefault="00000000">
      <w:r>
        <w:t>Первым направлением является внедрение компетентностного подхода. Начиная с 2013 года в Беларуси поэтапно разрабатываются и вводятся образовательные стандарты нового поколения, в которых результат образования описывается не набором знаний, умений и навыков, а совокупностью универсальных (социально-личностных), академических и профессиональных компетенций. Компетентностная модель делает возможным сопоставление белорусских образовательных программ с программами европейских университетов и лежит в основе всех остальных реформ.</w:t>
      </w:r>
    </w:p>
    <w:p w14:paraId="25B54306" w14:textId="77777777" w:rsidR="00547C4C" w:rsidRDefault="00000000">
      <w:r>
        <w:t xml:space="preserve">Вторым направлением выступает развитие уровневой структуры высшего образования. Двухступенчатая система (первая ступень – подготовка специалистов, вторая – магистратура) фактически воспроизводит европейскую </w:t>
      </w:r>
      <w:proofErr w:type="spellStart"/>
      <w:r>
        <w:t>двухцикловую</w:t>
      </w:r>
      <w:proofErr w:type="spellEnd"/>
      <w:r>
        <w:t xml:space="preserve"> модель: дипломированный специалист первой ступени имеет </w:t>
      </w:r>
      <w:r>
        <w:lastRenderedPageBreak/>
        <w:t>возможность продолжить обучение в магистратуре, а её выпускники – в аспирантуре, что обеспечивает преемственность циклов подготовки. Приём в магистратуру осуществляется на конкурсной основе по результатам вступительных испытаний, что усилило её самостоятельный статус в системе подготовки кадров.</w:t>
      </w:r>
    </w:p>
    <w:p w14:paraId="35D8F381" w14:textId="77777777" w:rsidR="00547C4C" w:rsidRDefault="00000000">
      <w:r>
        <w:t xml:space="preserve">Третьим направлением является внедрение кредитной технологии обучения, ECTS-совместимой с европейской системой зачётных единиц. Учебная деятельность студента измеряется в зачётных единицах: один учебный год соответствует 60 кредитам, семестр – 30 кредитам, при этом в объём зачётных единиц включается и самостоятельная работа студента. Кредитная технология повышает гибкость учебных планов, делает прозрачным объём учебной нагрузки и создаёт базу для </w:t>
      </w:r>
      <w:proofErr w:type="spellStart"/>
      <w:r>
        <w:t>перезачёта</w:t>
      </w:r>
      <w:proofErr w:type="spellEnd"/>
      <w:r>
        <w:t xml:space="preserve"> результатов обучения при академической мобильности.</w:t>
      </w:r>
    </w:p>
    <w:p w14:paraId="5F0269CA" w14:textId="77777777" w:rsidR="00547C4C" w:rsidRDefault="00000000">
      <w:r>
        <w:t>Четвёртое направление – совершенствование гарантий качества образования. Сформирована национальная система контроля качества, включающая государственную инспекцию контроля качества высшего образования, институциональные и специальные оценки, внутренние системы менеджмента качества вузов. Развитие этого направления предусматривает дальнейшее сближение национальных процедур с европейскими стандартами и рекомендациями по гарантии качества (ESG).</w:t>
      </w:r>
    </w:p>
    <w:p w14:paraId="7AA1409F" w14:textId="77777777" w:rsidR="00547C4C" w:rsidRDefault="00000000">
      <w:r>
        <w:t>Пятое направление – признание квалификаций и развитие академической мобильности. Беларусь, ратифицировав Лиссабонскую конвенцию, ввела в национальное законодательство механизмы признания иностранных документов об образовании, а учреждения высшего образования с 2016 года оформляют выпускникам европейское приложение к диплому, облегчающее трудоустройство и продолжение обучения за рубежом. Расширяется участие белорусских университетов в международных программах и проектах академической мобильности, включая межвузовские соглашения об обмене студентами и преподавателями.</w:t>
      </w:r>
    </w:p>
    <w:p w14:paraId="17391697" w14:textId="77777777" w:rsidR="00547C4C" w:rsidRDefault="00000000">
      <w:r>
        <w:t>Шестым направлением является цифровизация образовательного процесса: Кодекс Республики Беларусь об образовании (в редакции 2022 года) закрепил электронное обучение и дистанционные образовательные технологии, активно развиваются национальная образовательная платформа, электронные учебно-методические комплексы и системы управления обучением в вузах. Цифровизация непосредственно обслуживает задачи Болонского процесса – индивидуализацию образовательных траекторий и поддержку самостоятельной работы студентов.</w:t>
      </w:r>
    </w:p>
    <w:p w14:paraId="04245808" w14:textId="77777777" w:rsidR="00547C4C" w:rsidRDefault="00000000">
      <w:r>
        <w:t xml:space="preserve">Наконец, важным направлением модернизации является развитие социального измерения высшего образования: участие студентов в советах учреждений высшего образования, развитие студенческого самоуправления, меры </w:t>
      </w:r>
      <w:r>
        <w:lastRenderedPageBreak/>
        <w:t>социальной поддержки обучающихся. Соответствие ключевых инструментов Болонского процесса и их национальной реализации в Беларуси обобщено в таблице 3.2.</w:t>
      </w:r>
    </w:p>
    <w:p w14:paraId="022B637B" w14:textId="77777777" w:rsidR="0032692F" w:rsidRDefault="0032692F"/>
    <w:p w14:paraId="0151CEBA" w14:textId="77777777" w:rsidR="00547C4C" w:rsidRPr="0032692F" w:rsidRDefault="00000000">
      <w:pPr>
        <w:pStyle w:val="afd"/>
        <w:rPr>
          <w:lang w:val="ru-RU"/>
        </w:rPr>
      </w:pPr>
      <w:r w:rsidRPr="0032692F">
        <w:rPr>
          <w:lang w:val="ru-RU"/>
        </w:rPr>
        <w:t>Таблица 3.2 – Инструменты Болонского процесса и их реализация в системе высшего образования Беларуси</w:t>
      </w:r>
    </w:p>
    <w:tbl>
      <w:tblPr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3372"/>
        <w:gridCol w:w="6765"/>
      </w:tblGrid>
      <w:tr w:rsidR="00547C4C" w14:paraId="03FBB49B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4624E" w14:textId="77777777" w:rsidR="00547C4C" w:rsidRDefault="00000000">
            <w:pPr>
              <w:pStyle w:val="52"/>
              <w:ind w:firstLine="0"/>
              <w:jc w:val="center"/>
            </w:pPr>
            <w:r>
              <w:t>Инструмент Болонского процесса</w:t>
            </w: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C0EAD" w14:textId="77777777" w:rsidR="00547C4C" w:rsidRDefault="00000000">
            <w:pPr>
              <w:pStyle w:val="52"/>
              <w:ind w:firstLine="0"/>
              <w:jc w:val="center"/>
            </w:pPr>
            <w:r>
              <w:t>Реализация в Республике Беларусь</w:t>
            </w:r>
          </w:p>
        </w:tc>
      </w:tr>
      <w:tr w:rsidR="00547C4C" w14:paraId="6F166E8E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C42CC" w14:textId="77777777" w:rsidR="00547C4C" w:rsidRDefault="00000000">
            <w:pPr>
              <w:ind w:firstLine="0"/>
              <w:jc w:val="left"/>
            </w:pPr>
            <w:proofErr w:type="spellStart"/>
            <w:r>
              <w:t>Трёхцикловая</w:t>
            </w:r>
            <w:proofErr w:type="spellEnd"/>
            <w:r>
              <w:t xml:space="preserve"> система степеней</w:t>
            </w: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B778F" w14:textId="77777777" w:rsidR="00547C4C" w:rsidRDefault="00000000">
            <w:pPr>
              <w:ind w:firstLine="0"/>
              <w:jc w:val="left"/>
            </w:pPr>
            <w:r>
              <w:t>Двухступенчатая структура высшего образования (I ступень – специалист, II ступень – магистр) и послевузовское образование</w:t>
            </w:r>
          </w:p>
        </w:tc>
      </w:tr>
      <w:tr w:rsidR="00547C4C" w14:paraId="61CD02CC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C33F9" w14:textId="77777777" w:rsidR="00547C4C" w:rsidRDefault="00000000">
            <w:pPr>
              <w:ind w:firstLine="0"/>
              <w:jc w:val="left"/>
            </w:pPr>
            <w:r>
              <w:t>Кредитная технология (ECTS)</w:t>
            </w: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2B0FF" w14:textId="77777777" w:rsidR="00547C4C" w:rsidRDefault="00000000">
            <w:pPr>
              <w:ind w:firstLine="0"/>
              <w:jc w:val="left"/>
            </w:pPr>
            <w:r>
              <w:t>ECTS-совместимая система зачётных единиц: 60 кредитов в учебном году, 30 – в семестре</w:t>
            </w:r>
          </w:p>
        </w:tc>
      </w:tr>
      <w:tr w:rsidR="00547C4C" w14:paraId="6A59444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135FC" w14:textId="77777777" w:rsidR="00547C4C" w:rsidRDefault="00000000">
            <w:pPr>
              <w:ind w:firstLine="0"/>
              <w:jc w:val="left"/>
            </w:pPr>
            <w:r>
              <w:t>Приложение к диплому</w:t>
            </w: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0D147" w14:textId="77777777" w:rsidR="00547C4C" w:rsidRDefault="00000000">
            <w:pPr>
              <w:ind w:firstLine="0"/>
              <w:jc w:val="left"/>
            </w:pPr>
            <w:r>
              <w:t>Выдача выпускникам европейского приложения к диплому (с 2016 года)</w:t>
            </w:r>
          </w:p>
        </w:tc>
      </w:tr>
      <w:tr w:rsidR="00547C4C" w14:paraId="28207906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CBC" w14:textId="77777777" w:rsidR="00547C4C" w:rsidRDefault="00000000">
            <w:pPr>
              <w:ind w:firstLine="0"/>
              <w:jc w:val="left"/>
            </w:pPr>
            <w:r>
              <w:t>Гарантии качества</w:t>
            </w: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D180E" w14:textId="77777777" w:rsidR="00547C4C" w:rsidRDefault="00000000">
            <w:pPr>
              <w:ind w:firstLine="0"/>
              <w:jc w:val="left"/>
            </w:pPr>
            <w:r>
              <w:t>Государственная инспекция контроля качества высшего образования, внутренние системы менеджмента качества вузов</w:t>
            </w:r>
          </w:p>
        </w:tc>
      </w:tr>
      <w:tr w:rsidR="00547C4C" w14:paraId="0D281331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FADE8" w14:textId="77777777" w:rsidR="00547C4C" w:rsidRDefault="00000000">
            <w:pPr>
              <w:ind w:firstLine="0"/>
              <w:jc w:val="left"/>
            </w:pPr>
            <w:r>
              <w:t>Признание квалификаций</w:t>
            </w: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F3EC6" w14:textId="77777777" w:rsidR="00547C4C" w:rsidRDefault="00000000">
            <w:pPr>
              <w:ind w:firstLine="0"/>
              <w:jc w:val="left"/>
            </w:pPr>
            <w:r>
              <w:t>Участие в Лиссабонской конвенции; механизмы признания, закреплённые в Кодексе об образовании</w:t>
            </w:r>
          </w:p>
        </w:tc>
      </w:tr>
      <w:tr w:rsidR="00547C4C" w14:paraId="7F1EABCA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4F4E6" w14:textId="77777777" w:rsidR="00547C4C" w:rsidRDefault="00000000">
            <w:pPr>
              <w:ind w:firstLine="0"/>
              <w:jc w:val="left"/>
            </w:pPr>
            <w:r>
              <w:t>Академическая мобильность</w:t>
            </w: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3FAF1" w14:textId="77777777" w:rsidR="00547C4C" w:rsidRDefault="00000000">
            <w:pPr>
              <w:ind w:firstLine="0"/>
              <w:jc w:val="left"/>
            </w:pPr>
            <w:r>
              <w:t>Развитие мобильности на основе межвузовских соглашений и международных проектов</w:t>
            </w:r>
          </w:p>
        </w:tc>
      </w:tr>
      <w:tr w:rsidR="00547C4C" w14:paraId="793C02C1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16616" w14:textId="77777777" w:rsidR="00547C4C" w:rsidRDefault="00000000">
            <w:pPr>
              <w:ind w:firstLine="0"/>
              <w:jc w:val="left"/>
            </w:pPr>
            <w:r>
              <w:t>Электронное обучение</w:t>
            </w:r>
          </w:p>
        </w:tc>
        <w:tc>
          <w:tcPr>
            <w:tcW w:w="6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63494" w14:textId="77777777" w:rsidR="00547C4C" w:rsidRDefault="00000000">
            <w:pPr>
              <w:ind w:firstLine="0"/>
              <w:jc w:val="left"/>
            </w:pPr>
            <w:r>
              <w:t>Правовое закрепление электронного обучения, национальная образовательная платформа, электронные УМК</w:t>
            </w:r>
          </w:p>
        </w:tc>
      </w:tr>
    </w:tbl>
    <w:p w14:paraId="0E42A306" w14:textId="77777777" w:rsidR="00547C4C" w:rsidRDefault="00547C4C"/>
    <w:p w14:paraId="2D74C8DD" w14:textId="77777777" w:rsidR="00547C4C" w:rsidRDefault="00000000">
      <w:pPr>
        <w:pStyle w:val="2"/>
      </w:pPr>
      <w:bookmarkStart w:id="9" w:name="_Toc240732573"/>
      <w:r>
        <w:t>Результаты, проблемы и перспективы модернизации</w:t>
      </w:r>
      <w:bookmarkEnd w:id="9"/>
    </w:p>
    <w:p w14:paraId="744A9C26" w14:textId="77777777" w:rsidR="00547C4C" w:rsidRDefault="00000000">
      <w:r>
        <w:t>За период участия в Болонском процессе белорусская высшая школа достигла существенных результатов. Завершено формирование уровневой структуры высшего образования, воспроизводящей европейские циклы подготовки; внедрена ECTS-совместимая кредитная технология; образовательные стандарты переведены на компетентностную основу; выпускники получают европейские приложения к диплому; законодательство приведено в соответствие с обязательствами по признанию квалификаций и обеспечению академической мобильности; развитие получили электронное обучение и цифровая образовательная инфраструктура. Эти изменения изменили саму культуру учебного процесса: усилилась роль самостоятельной работы студентов, расширилось применение интерактивных методов обучения, повысилась прозрачность требований к результатам образования.</w:t>
      </w:r>
    </w:p>
    <w:p w14:paraId="6D556426" w14:textId="77777777" w:rsidR="00547C4C" w:rsidRDefault="00000000">
      <w:r>
        <w:lastRenderedPageBreak/>
        <w:t>Вместе с тем сохраняется ряд проблем. Не завершено создание независимого агентства по гарантии качества образования, признаваемого на европейском уровне: внешняя оценка остаётся преимущественно функцией государственных органов. Ограниченной остаётся академическая автономия вузов, прежде всего в части формирования содержания образования и управления ресурсами. Негативное влияние на систему оказывают демографическое снижение контингента абитуриентов и отток квалифицированных специалистов. Наконец, с 2021–2022 годов участие Беларуси в европейских образовательных структурах приостановлено, что затрудняет полноценное использование инструментов мобильности и участия в совместных программах.</w:t>
      </w:r>
    </w:p>
    <w:p w14:paraId="7FEFF9DD" w14:textId="77777777" w:rsidR="00547C4C" w:rsidRDefault="00000000">
      <w:r>
        <w:t>Перспективы модернизации связаны с завершением выполнения обязательств дорожной карты национальными средствами: дальнейшим развитием систем внутреннего и внешнего качества по стандартам ESG, расширением автономии учреждений высшего образования, углублением кредитной технологии и гибких образовательных траекторий, цифровой трансформацией обучения и международным сотрудничеством на двусторонней и многосторонней основе. Даже в условиях приостановки европейского представительства ориентиры Болонского процесса – сопоставимость квалификаций, ориентация на компетенции, гарантии качества и мобильность – сохраняют значение как инструмент повышения качества и конкурентоспособности белорусского высшего образования.</w:t>
      </w:r>
    </w:p>
    <w:p w14:paraId="3451A16D" w14:textId="77777777" w:rsidR="00547C4C" w:rsidRDefault="00000000">
      <w:pPr>
        <w:pStyle w:val="afb"/>
        <w:pageBreakBefore/>
        <w:rPr>
          <w:lang w:val="ru-RU"/>
        </w:rPr>
      </w:pPr>
      <w:r>
        <w:rPr>
          <w:lang w:val="ru-RU"/>
        </w:rPr>
        <w:lastRenderedPageBreak/>
        <w:t>Заключение</w:t>
      </w:r>
    </w:p>
    <w:p w14:paraId="3AAA9C1A" w14:textId="77777777" w:rsidR="00547C4C" w:rsidRDefault="00000000">
      <w:r>
        <w:t>Проведённый анализ позволяет сделать ряд выводов.</w:t>
      </w:r>
    </w:p>
    <w:p w14:paraId="3E33728E" w14:textId="77777777" w:rsidR="00547C4C" w:rsidRDefault="00000000">
      <w:r>
        <w:t>Высшая школа Беларуси прошла длительный путь становления – от монастырских и братских школ средневековья и Виленской академии через создание национальной советской системы вузов к современной централизованно управляемой системе, включающей 47 учреждений высшего образования и около 224 тыс. студентов. К моменту присоединения к Болонскому процессу она обладала высокой доступностью и фундаментальностью подготовки, однако нуждалась в гармонизации с европейскими структурами и инструментами.</w:t>
      </w:r>
    </w:p>
    <w:p w14:paraId="56BE74A5" w14:textId="77777777" w:rsidR="00547C4C" w:rsidRDefault="00000000">
      <w:r>
        <w:t xml:space="preserve">Болонский процесс является магистральным механизмом формирования единого европейского пространства высшего образования, основанным на </w:t>
      </w:r>
      <w:proofErr w:type="spellStart"/>
      <w:r>
        <w:t>трёхцикловой</w:t>
      </w:r>
      <w:proofErr w:type="spellEnd"/>
      <w:r>
        <w:t xml:space="preserve"> системе степеней, кредитной технологии ECTS, гарантиях качества, признании квалификаций и академической мобильности. Беларусь присоединилась к процессу в мае 2015 года, приняв дорожную карту реформ; современный этап характеризуется приостановкой представительства в европейских структурах при сохранении формального членства и продолжении национальных реформ.</w:t>
      </w:r>
    </w:p>
    <w:p w14:paraId="638DCD95" w14:textId="75F7C07A" w:rsidR="00547C4C" w:rsidRDefault="00000000">
      <w:r>
        <w:t>Модернизация белорусской высшей школы реализуется по направлениям компетентностного подхода, уровневой структуры образования, кредитной технологии, гарантий качества, признания квалификаций и мобильности, цифровизации и социального измерения. Концептуальной основой этих изменений выступает переход от классической парадигмы к гуманистической, субъект-субъектной модели, в центре которой – студент как активный субъект познавательной деятельности. Достигнутые результаты свидетельствуют о существенном продвижении реформ, а сохраняющиеся проблемы – о необходимости дальнейшего совершенствования системы качества и автономии вузов. Таким образом, цель реферата достигнута, поставленные задачи решены.</w:t>
      </w:r>
    </w:p>
    <w:p w14:paraId="5214BFB2" w14:textId="77777777" w:rsidR="00547C4C" w:rsidRDefault="00000000">
      <w:pPr>
        <w:pStyle w:val="afb"/>
        <w:pageBreakBefore/>
        <w:rPr>
          <w:lang w:val="ru-RU"/>
        </w:rPr>
      </w:pPr>
      <w:bookmarkStart w:id="10" w:name="__RefHeading___Toc55475066"/>
      <w:bookmarkEnd w:id="10"/>
      <w:r>
        <w:rPr>
          <w:lang w:val="ru-RU"/>
        </w:rPr>
        <w:lastRenderedPageBreak/>
        <w:t>Список использованных источников</w:t>
      </w:r>
    </w:p>
    <w:p w14:paraId="010ADF18" w14:textId="77777777" w:rsidR="00547C4C" w:rsidRDefault="00000000" w:rsidP="00A0171A">
      <w:pPr>
        <w:pStyle w:val="a"/>
      </w:pPr>
      <w:r>
        <w:t>Кодекс Республики Беларусь об образовании : 14 янв. 2022 г. № 154-З : с изм. и доп. // Эталон : государственный реестр правовых актов Республики Беларусь. – Режим доступа: https://etalonline.by. – Дата доступа: 19.09.2026.</w:t>
      </w:r>
    </w:p>
    <w:p w14:paraId="191D3D84" w14:textId="77777777" w:rsidR="00547C4C" w:rsidRDefault="00000000" w:rsidP="00A0171A">
      <w:pPr>
        <w:pStyle w:val="a"/>
      </w:pPr>
      <w:r>
        <w:t>Болонская декларация : совместная декларация европейских министров образования, Болонья, 19 июня 1999 г. – Режим доступа: https://www.ehea.info. – Дата доступа: 19.09.2026.</w:t>
      </w:r>
    </w:p>
    <w:p w14:paraId="11CDA15C" w14:textId="77777777" w:rsidR="00547C4C" w:rsidRDefault="00000000" w:rsidP="00A0171A">
      <w:pPr>
        <w:pStyle w:val="a"/>
      </w:pPr>
      <w:r>
        <w:t>Лиссабонская конвенция о признании квалификаций, относящихся к высшему образованию в Европейском регионе : заключена в г. Лиссабоне 11 апр. 1997 г. – Режим доступа: https://www.ehea.info. – Дата доступа: 19.09.2026.</w:t>
      </w:r>
    </w:p>
    <w:p w14:paraId="18B41270" w14:textId="77777777" w:rsidR="00547C4C" w:rsidRDefault="00000000" w:rsidP="00A0171A">
      <w:pPr>
        <w:pStyle w:val="a"/>
      </w:pPr>
      <w:r>
        <w:t>Дорожная карта по проведению Беларусью реформы системы высшего образования : принята на Конференции министров образования стран-участниц Болонского процесса, Ереван, 14–15 мая 2015 г. – Режим доступа: https://bolognaby.org. – Дата доступа: 19.09.2026.</w:t>
      </w:r>
    </w:p>
    <w:p w14:paraId="4F3423DF" w14:textId="77777777" w:rsidR="00547C4C" w:rsidRDefault="00000000" w:rsidP="00A0171A">
      <w:pPr>
        <w:pStyle w:val="a"/>
      </w:pPr>
      <w:r>
        <w:t>Педагогика и психология высшего образования : электронный ресурс по учебной дисциплине / Белорусский государственный университет информатики и радиоэлектроники. – Минск : БГУИР, 2020.</w:t>
      </w:r>
    </w:p>
    <w:p w14:paraId="1E5107A8" w14:textId="77777777" w:rsidR="00547C4C" w:rsidRDefault="00000000" w:rsidP="00A0171A">
      <w:pPr>
        <w:pStyle w:val="a"/>
      </w:pPr>
      <w:r>
        <w:t xml:space="preserve">Образование в Республике Беларусь : инфографика / Национальный статистический комитет Республики Беларусь. – Минск : </w:t>
      </w:r>
      <w:proofErr w:type="spellStart"/>
      <w:r>
        <w:t>Белстат</w:t>
      </w:r>
      <w:proofErr w:type="spellEnd"/>
      <w:r>
        <w:t>, 2024. – Режим доступа: https://www.belstat.gov.by. – Дата доступа: 19.09.2026.</w:t>
      </w:r>
    </w:p>
    <w:p w14:paraId="259F678A" w14:textId="77777777" w:rsidR="00547C4C" w:rsidRDefault="00000000" w:rsidP="00A0171A">
      <w:pPr>
        <w:pStyle w:val="a"/>
      </w:pPr>
      <w:r>
        <w:t>Высшее образование // Официальный сайт Республики Беларусь. – Режим доступа: https://www.belarus.by. – Дата доступа: 19.09.2026.</w:t>
      </w:r>
    </w:p>
    <w:sectPr w:rsidR="00547C4C">
      <w:footerReference w:type="default" r:id="rId8"/>
      <w:pgSz w:w="11906" w:h="16838"/>
      <w:pgMar w:top="851" w:right="851" w:bottom="851" w:left="1134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280AB" w14:textId="77777777" w:rsidR="00AD5C6D" w:rsidRDefault="00AD5C6D">
      <w:pPr>
        <w:spacing w:line="240" w:lineRule="auto"/>
      </w:pPr>
      <w:r>
        <w:separator/>
      </w:r>
    </w:p>
  </w:endnote>
  <w:endnote w:type="continuationSeparator" w:id="0">
    <w:p w14:paraId="789CF56C" w14:textId="77777777" w:rsidR="00AD5C6D" w:rsidRDefault="00AD5C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CAB9" w14:textId="77777777" w:rsidR="00547C4C" w:rsidRDefault="00000000">
    <w:pPr>
      <w:pStyle w:val="afa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5F6BA" w14:textId="77777777" w:rsidR="00AD5C6D" w:rsidRDefault="00AD5C6D">
      <w:pPr>
        <w:spacing w:line="240" w:lineRule="auto"/>
      </w:pPr>
      <w:r>
        <w:separator/>
      </w:r>
    </w:p>
  </w:footnote>
  <w:footnote w:type="continuationSeparator" w:id="0">
    <w:p w14:paraId="570D76BA" w14:textId="77777777" w:rsidR="00AD5C6D" w:rsidRDefault="00AD5C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7382C"/>
    <w:multiLevelType w:val="multilevel"/>
    <w:tmpl w:val="B8589CC8"/>
    <w:lvl w:ilvl="0">
      <w:start w:val="1"/>
      <w:numFmt w:val="decimal"/>
      <w:pStyle w:val="a"/>
      <w:suff w:val="nothing"/>
      <w:lvlText w:val="[%1] 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31D207A3"/>
    <w:multiLevelType w:val="multilevel"/>
    <w:tmpl w:val="3CDAE4BE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465276C8"/>
    <w:multiLevelType w:val="multilevel"/>
    <w:tmpl w:val="38CAF4CC"/>
    <w:lvl w:ilvl="0">
      <w:start w:val="1"/>
      <w:numFmt w:val="decimal"/>
      <w:pStyle w:val="a0"/>
      <w:suff w:val="space"/>
      <w:lvlText w:val="[%1]"/>
      <w:lvlJc w:val="left"/>
      <w:pPr>
        <w:tabs>
          <w:tab w:val="num" w:pos="0"/>
        </w:tabs>
        <w:ind w:left="185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583016">
    <w:abstractNumId w:val="1"/>
  </w:num>
  <w:num w:numId="2" w16cid:durableId="1873105827">
    <w:abstractNumId w:val="2"/>
  </w:num>
  <w:num w:numId="3" w16cid:durableId="176849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NotTrackMove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7C4C"/>
    <w:rsid w:val="000E73CF"/>
    <w:rsid w:val="001073DA"/>
    <w:rsid w:val="00216130"/>
    <w:rsid w:val="002B0214"/>
    <w:rsid w:val="0032692F"/>
    <w:rsid w:val="00547C4C"/>
    <w:rsid w:val="006E30B7"/>
    <w:rsid w:val="007D5312"/>
    <w:rsid w:val="008C2773"/>
    <w:rsid w:val="00983CAC"/>
    <w:rsid w:val="00A0171A"/>
    <w:rsid w:val="00AB5307"/>
    <w:rsid w:val="00AD5C6D"/>
    <w:rsid w:val="00B043DC"/>
    <w:rsid w:val="00CB507F"/>
    <w:rsid w:val="00EC05F9"/>
    <w:rsid w:val="00ED5D05"/>
    <w:rsid w:val="00F6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5749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uppressAutoHyphens/>
      <w:spacing w:line="276" w:lineRule="auto"/>
      <w:ind w:firstLine="709"/>
      <w:jc w:val="both"/>
    </w:pPr>
    <w:rPr>
      <w:rFonts w:ascii="Times New Roman" w:eastAsia="Calibri" w:hAnsi="Times New Roman" w:cs="Times New Roman"/>
      <w:sz w:val="28"/>
      <w:szCs w:val="22"/>
      <w:lang w:eastAsia="zh-CN"/>
    </w:rPr>
  </w:style>
  <w:style w:type="paragraph" w:styleId="1">
    <w:name w:val="heading 1"/>
    <w:basedOn w:val="a1"/>
    <w:next w:val="a1"/>
    <w:uiPriority w:val="9"/>
    <w:qFormat/>
    <w:pPr>
      <w:keepNext/>
      <w:numPr>
        <w:numId w:val="1"/>
      </w:numPr>
      <w:spacing w:before="120" w:after="240"/>
      <w:ind w:left="0" w:firstLine="709"/>
      <w:jc w:val="left"/>
      <w:outlineLvl w:val="0"/>
    </w:pPr>
    <w:rPr>
      <w:rFonts w:eastAsia="Times New Roman"/>
      <w:b/>
      <w:bCs/>
      <w:caps/>
      <w:kern w:val="2"/>
      <w:szCs w:val="32"/>
    </w:rPr>
  </w:style>
  <w:style w:type="paragraph" w:styleId="2">
    <w:name w:val="heading 2"/>
    <w:basedOn w:val="a1"/>
    <w:next w:val="a1"/>
    <w:uiPriority w:val="9"/>
    <w:unhideWhenUsed/>
    <w:qFormat/>
    <w:pPr>
      <w:keepNext/>
      <w:numPr>
        <w:ilvl w:val="1"/>
        <w:numId w:val="1"/>
      </w:numPr>
      <w:spacing w:before="60" w:after="60"/>
      <w:ind w:left="0" w:firstLine="709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1"/>
    <w:next w:val="a1"/>
    <w:uiPriority w:val="9"/>
    <w:semiHidden/>
    <w:unhideWhenUsed/>
    <w:qFormat/>
    <w:pPr>
      <w:keepNext/>
      <w:numPr>
        <w:ilvl w:val="2"/>
        <w:numId w:val="1"/>
      </w:numPr>
      <w:spacing w:before="60" w:after="60"/>
      <w:ind w:left="0" w:firstLine="709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a1"/>
    <w:next w:val="a1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1"/>
    <w:next w:val="a1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1"/>
    <w:next w:val="a1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paragraph" w:styleId="8">
    <w:name w:val="heading 8"/>
    <w:basedOn w:val="a1"/>
    <w:next w:val="a1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 w:val="24"/>
      <w:szCs w:val="24"/>
    </w:rPr>
  </w:style>
  <w:style w:type="paragraph" w:styleId="9">
    <w:name w:val="heading 9"/>
    <w:basedOn w:val="a1"/>
    <w:next w:val="a1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rPr>
      <w:rFonts w:ascii="Cambria" w:eastAsia="Times New Roman" w:hAnsi="Cambria" w:cs="Times New Roman"/>
      <w:sz w:val="22"/>
      <w:szCs w:val="22"/>
    </w:rPr>
  </w:style>
  <w:style w:type="character" w:styleId="a5">
    <w:name w:val="Hyperlink"/>
    <w:uiPriority w:val="99"/>
    <w:rPr>
      <w:color w:val="0000FF"/>
      <w:u w:val="single"/>
    </w:rPr>
  </w:style>
  <w:style w:type="character" w:customStyle="1" w:styleId="a6">
    <w:name w:val="Верх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a7">
    <w:name w:val="Ниж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51">
    <w:name w:val="5.Основной текст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a8">
    <w:name w:val="Текст концевой сноски Знак"/>
    <w:rPr>
      <w:rFonts w:ascii="Times New Roman" w:hAnsi="Times New Roman" w:cs="Times New Roman"/>
    </w:rPr>
  </w:style>
  <w:style w:type="character" w:customStyle="1" w:styleId="a9">
    <w:name w:val="Символ концевой сноски"/>
    <w:rPr>
      <w:vertAlign w:val="superscript"/>
    </w:rPr>
  </w:style>
  <w:style w:type="character" w:customStyle="1" w:styleId="aa">
    <w:name w:val="Название объекта Знак"/>
    <w:rPr>
      <w:rFonts w:ascii="Times New Roman" w:hAnsi="Times New Roman" w:cs="Times New Roman"/>
      <w:b/>
      <w:bCs/>
    </w:rPr>
  </w:style>
  <w:style w:type="character" w:customStyle="1" w:styleId="ab">
    <w:name w:val="Таблица Знак"/>
    <w:rPr>
      <w:rFonts w:ascii="Times New Roman" w:hAnsi="Times New Roman" w:cs="Times New Roman"/>
      <w:b w:val="0"/>
      <w:bCs w:val="0"/>
      <w:sz w:val="28"/>
      <w:szCs w:val="22"/>
      <w:lang w:val="en-US"/>
    </w:rPr>
  </w:style>
  <w:style w:type="character" w:customStyle="1" w:styleId="ac">
    <w:name w:val="Введение_заключение_и_т.д. Знак"/>
    <w:rPr>
      <w:rFonts w:ascii="Times New Roman" w:hAnsi="Times New Roman" w:cs="Times New Roman"/>
      <w:b/>
      <w:sz w:val="28"/>
      <w:szCs w:val="22"/>
    </w:rPr>
  </w:style>
  <w:style w:type="character" w:customStyle="1" w:styleId="ad">
    <w:name w:val="Введение_Заключе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e">
    <w:name w:val="Содержа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f">
    <w:name w:val="Ссылка указателя"/>
  </w:style>
  <w:style w:type="paragraph" w:styleId="af0">
    <w:name w:val="Title"/>
    <w:basedOn w:val="a1"/>
    <w:next w:val="af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1">
    <w:name w:val="Body Text"/>
    <w:basedOn w:val="a1"/>
    <w:pPr>
      <w:spacing w:after="140"/>
    </w:pPr>
  </w:style>
  <w:style w:type="paragraph" w:styleId="af2">
    <w:name w:val="List"/>
    <w:basedOn w:val="af1"/>
    <w:rPr>
      <w:rFonts w:cs="Arial"/>
    </w:rPr>
  </w:style>
  <w:style w:type="paragraph" w:styleId="af3">
    <w:name w:val="caption"/>
    <w:basedOn w:val="a1"/>
    <w:next w:val="a1"/>
    <w:rPr>
      <w:b/>
      <w:bCs/>
      <w:sz w:val="20"/>
      <w:szCs w:val="20"/>
    </w:rPr>
  </w:style>
  <w:style w:type="paragraph" w:styleId="af4">
    <w:name w:val="index heading"/>
    <w:basedOn w:val="a1"/>
    <w:pPr>
      <w:suppressLineNumbers/>
    </w:pPr>
    <w:rPr>
      <w:rFonts w:cs="Arial"/>
    </w:rPr>
  </w:style>
  <w:style w:type="paragraph" w:customStyle="1" w:styleId="af5">
    <w:name w:val="титульный лист"/>
    <w:basedOn w:val="a1"/>
    <w:pPr>
      <w:spacing w:line="264" w:lineRule="auto"/>
      <w:jc w:val="center"/>
    </w:pPr>
  </w:style>
  <w:style w:type="paragraph" w:customStyle="1" w:styleId="af6">
    <w:name w:val="Рисунок"/>
    <w:basedOn w:val="a1"/>
    <w:pPr>
      <w:spacing w:before="120" w:after="120"/>
      <w:ind w:firstLine="0"/>
      <w:jc w:val="center"/>
    </w:pPr>
    <w:rPr>
      <w:sz w:val="24"/>
    </w:rPr>
  </w:style>
  <w:style w:type="paragraph" w:styleId="af7">
    <w:name w:val="List Paragraph"/>
    <w:basedOn w:val="a1"/>
    <w:pPr>
      <w:ind w:left="720"/>
      <w:contextualSpacing/>
    </w:pPr>
  </w:style>
  <w:style w:type="paragraph" w:customStyle="1" w:styleId="a0">
    <w:name w:val="[ ] Список Литературы"/>
    <w:basedOn w:val="a1"/>
    <w:pPr>
      <w:numPr>
        <w:numId w:val="2"/>
      </w:numPr>
      <w:spacing w:line="360" w:lineRule="auto"/>
      <w:ind w:left="0" w:firstLine="709"/>
    </w:pPr>
    <w:rPr>
      <w:sz w:val="26"/>
    </w:rPr>
  </w:style>
  <w:style w:type="paragraph" w:styleId="11">
    <w:name w:val="toc 1"/>
    <w:basedOn w:val="a1"/>
    <w:next w:val="a1"/>
    <w:pPr>
      <w:tabs>
        <w:tab w:val="left" w:pos="426"/>
        <w:tab w:val="right" w:leader="dot" w:pos="9921"/>
      </w:tabs>
      <w:ind w:firstLine="0"/>
      <w:jc w:val="left"/>
    </w:pPr>
    <w:rPr>
      <w:bCs/>
      <w:szCs w:val="20"/>
    </w:rPr>
  </w:style>
  <w:style w:type="paragraph" w:styleId="21">
    <w:name w:val="toc 2"/>
    <w:basedOn w:val="a1"/>
    <w:next w:val="a1"/>
    <w:pPr>
      <w:tabs>
        <w:tab w:val="left" w:pos="851"/>
        <w:tab w:val="right" w:leader="dot" w:pos="9921"/>
      </w:tabs>
      <w:spacing w:line="288" w:lineRule="auto"/>
      <w:ind w:left="261" w:firstLine="0"/>
      <w:jc w:val="left"/>
    </w:pPr>
    <w:rPr>
      <w:szCs w:val="20"/>
      <w:lang w:eastAsia="ru-RU"/>
    </w:rPr>
  </w:style>
  <w:style w:type="paragraph" w:customStyle="1" w:styleId="af8">
    <w:name w:val="Колонтитулы"/>
    <w:basedOn w:val="a1"/>
    <w:pPr>
      <w:suppressLineNumbers/>
      <w:tabs>
        <w:tab w:val="center" w:pos="4819"/>
        <w:tab w:val="right" w:pos="9638"/>
      </w:tabs>
    </w:pPr>
  </w:style>
  <w:style w:type="paragraph" w:styleId="af9">
    <w:name w:val="header"/>
    <w:basedOn w:val="a1"/>
    <w:pPr>
      <w:tabs>
        <w:tab w:val="center" w:pos="4677"/>
        <w:tab w:val="right" w:pos="9355"/>
      </w:tabs>
    </w:pPr>
  </w:style>
  <w:style w:type="paragraph" w:styleId="afa">
    <w:name w:val="footer"/>
    <w:basedOn w:val="a1"/>
    <w:pPr>
      <w:tabs>
        <w:tab w:val="center" w:pos="4677"/>
        <w:tab w:val="right" w:pos="9355"/>
      </w:tabs>
    </w:pPr>
  </w:style>
  <w:style w:type="paragraph" w:customStyle="1" w:styleId="afb">
    <w:name w:val="Введение_Заключение"/>
    <w:basedOn w:val="1"/>
    <w:pPr>
      <w:numPr>
        <w:numId w:val="0"/>
      </w:numPr>
      <w:jc w:val="center"/>
      <w:outlineLvl w:val="9"/>
    </w:pPr>
    <w:rPr>
      <w:lang w:val="en-US"/>
    </w:rPr>
  </w:style>
  <w:style w:type="paragraph" w:styleId="31">
    <w:name w:val="toc 3"/>
    <w:basedOn w:val="a1"/>
    <w:next w:val="a1"/>
    <w:pPr>
      <w:tabs>
        <w:tab w:val="right" w:leader="dot" w:pos="9911"/>
      </w:tabs>
      <w:ind w:left="709" w:firstLine="7"/>
    </w:pPr>
  </w:style>
  <w:style w:type="paragraph" w:customStyle="1" w:styleId="52">
    <w:name w:val="5.Основной текст"/>
    <w:basedOn w:val="a1"/>
    <w:pPr>
      <w:spacing w:line="360" w:lineRule="atLeast"/>
    </w:pPr>
    <w:rPr>
      <w:rFonts w:eastAsia="Times New Roman"/>
      <w:szCs w:val="24"/>
    </w:rPr>
  </w:style>
  <w:style w:type="paragraph" w:styleId="afc">
    <w:name w:val="endnote text"/>
    <w:basedOn w:val="a1"/>
    <w:rPr>
      <w:sz w:val="20"/>
      <w:szCs w:val="20"/>
    </w:rPr>
  </w:style>
  <w:style w:type="paragraph" w:customStyle="1" w:styleId="afd">
    <w:name w:val="Таблица"/>
    <w:basedOn w:val="af3"/>
    <w:pPr>
      <w:ind w:firstLine="0"/>
    </w:pPr>
    <w:rPr>
      <w:b w:val="0"/>
      <w:bCs w:val="0"/>
      <w:sz w:val="28"/>
      <w:szCs w:val="22"/>
      <w:lang w:val="en-US"/>
    </w:rPr>
  </w:style>
  <w:style w:type="paragraph" w:customStyle="1" w:styleId="afe">
    <w:name w:val="Введение_заключение_и_т.д."/>
    <w:basedOn w:val="a1"/>
    <w:pPr>
      <w:ind w:firstLine="0"/>
      <w:jc w:val="center"/>
    </w:pPr>
    <w:rPr>
      <w:b/>
    </w:rPr>
  </w:style>
  <w:style w:type="paragraph" w:customStyle="1" w:styleId="aff">
    <w:name w:val="Содержание"/>
    <w:basedOn w:val="afb"/>
  </w:style>
  <w:style w:type="paragraph" w:customStyle="1" w:styleId="aff0">
    <w:name w:val="Содержимое таблицы"/>
    <w:basedOn w:val="a1"/>
    <w:pPr>
      <w:widowControl w:val="0"/>
      <w:suppressLineNumbers/>
    </w:pPr>
  </w:style>
  <w:style w:type="paragraph" w:customStyle="1" w:styleId="aff1">
    <w:name w:val="Заголовок таблицы"/>
    <w:basedOn w:val="aff0"/>
    <w:pPr>
      <w:jc w:val="center"/>
    </w:pPr>
    <w:rPr>
      <w:b/>
      <w:bCs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  <w:style w:type="paragraph" w:styleId="aff2">
    <w:name w:val="TOC Heading"/>
    <w:basedOn w:val="1"/>
    <w:next w:val="a1"/>
    <w:uiPriority w:val="39"/>
    <w:unhideWhenUsed/>
    <w:qFormat/>
    <w:rsid w:val="000E73CF"/>
    <w:pPr>
      <w:keepLines/>
      <w:numPr>
        <w:numId w:val="0"/>
      </w:numPr>
      <w:suppressAutoHyphens w:val="0"/>
      <w:spacing w:before="240" w:after="0" w:line="259" w:lineRule="auto"/>
      <w:outlineLvl w:val="9"/>
    </w:pPr>
    <w:rPr>
      <w:rFonts w:ascii="Calibri Light" w:hAnsi="Calibri Light"/>
      <w:b w:val="0"/>
      <w:bCs w:val="0"/>
      <w:caps w:val="0"/>
      <w:color w:val="2F5496"/>
      <w:kern w:val="0"/>
      <w:sz w:val="32"/>
      <w:lang w:eastAsia="ru-RU"/>
    </w:rPr>
  </w:style>
  <w:style w:type="paragraph" w:customStyle="1" w:styleId="a">
    <w:name w:val="#Источ"/>
    <w:basedOn w:val="a1"/>
    <w:qFormat/>
    <w:rsid w:val="00A0171A"/>
    <w:pPr>
      <w:widowControl w:val="0"/>
      <w:numPr>
        <w:numId w:val="3"/>
      </w:numPr>
      <w:tabs>
        <w:tab w:val="left" w:pos="993"/>
        <w:tab w:val="left" w:pos="1191"/>
        <w:tab w:val="left" w:pos="1276"/>
        <w:tab w:val="left" w:pos="1985"/>
      </w:tabs>
      <w:suppressAutoHyphens w:val="0"/>
      <w:autoSpaceDE w:val="0"/>
      <w:autoSpaceDN w:val="0"/>
      <w:spacing w:line="360" w:lineRule="exact"/>
      <w:contextualSpacing/>
    </w:pPr>
    <w:rPr>
      <w:rFonts w:eastAsia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C3A6-975E-4021-9ECF-412E62B6C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4109</Words>
  <Characters>23423</Characters>
  <Application>Microsoft Office Word</Application>
  <DocSecurity>0</DocSecurity>
  <Lines>195</Lines>
  <Paragraphs>54</Paragraphs>
  <ScaleCrop>false</ScaleCrop>
  <Company/>
  <LinksUpToDate>false</LinksUpToDate>
  <CharactersWithSpaces>27478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2026-09-20T19:12:00Z</dcterms:created>
  <dcterms:modified xsi:type="dcterms:W3CDTF">2026-09-21T07:47:00Z</dcterms:modified>
  <dc:language/>
</cp:coreProperties>
</file>