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5A88B4" w14:textId="52C71763" w:rsidR="001F4F51" w:rsidRPr="001F4F51" w:rsidRDefault="001F4F51" w:rsidP="001F4F51">
      <w:pPr>
        <w:shd w:val="clear" w:color="auto" w:fill="FFFFFF"/>
        <w:spacing w:before="100" w:beforeAutospacing="1" w:after="100" w:afterAutospacing="1" w:line="240" w:lineRule="auto"/>
        <w:outlineLvl w:val="0"/>
        <w:rPr>
          <w:rFonts w:ascii="Arial" w:eastAsia="Times New Roman" w:hAnsi="Arial" w:cs="Arial"/>
          <w:b/>
          <w:bCs/>
          <w:color w:val="1C3144"/>
          <w:kern w:val="36"/>
          <w:sz w:val="48"/>
          <w:szCs w:val="48"/>
        </w:rPr>
      </w:pPr>
      <w:r w:rsidRPr="001F4F51">
        <w:rPr>
          <w:rFonts w:ascii="Arial" w:eastAsia="Times New Roman" w:hAnsi="Arial" w:cs="Arial"/>
          <w:b/>
          <w:bCs/>
          <w:color w:val="1C3144"/>
          <w:kern w:val="36"/>
          <w:sz w:val="48"/>
          <w:szCs w:val="48"/>
        </w:rPr>
        <w:t>Real-Time Wind Turbine Monitoring:  Rewards</w:t>
      </w:r>
      <w:r>
        <w:rPr>
          <w:rFonts w:ascii="Arial" w:eastAsia="Times New Roman" w:hAnsi="Arial" w:cs="Arial"/>
          <w:b/>
          <w:bCs/>
          <w:color w:val="1C3144"/>
          <w:kern w:val="36"/>
          <w:sz w:val="48"/>
          <w:szCs w:val="48"/>
        </w:rPr>
        <w:t xml:space="preserve"> and </w:t>
      </w:r>
      <w:r w:rsidRPr="001F4F51">
        <w:rPr>
          <w:rFonts w:ascii="Arial" w:eastAsia="Times New Roman" w:hAnsi="Arial" w:cs="Arial"/>
          <w:b/>
          <w:bCs/>
          <w:color w:val="1C3144"/>
          <w:kern w:val="36"/>
          <w:sz w:val="48"/>
          <w:szCs w:val="48"/>
        </w:rPr>
        <w:t>Data Challenges</w:t>
      </w:r>
    </w:p>
    <w:p w14:paraId="4C3B231A" w14:textId="77777777" w:rsidR="001F4F51" w:rsidRPr="001F4F51" w:rsidRDefault="001F4F51" w:rsidP="001F4F51">
      <w:pPr>
        <w:shd w:val="clear" w:color="auto" w:fill="FFFFFF"/>
        <w:spacing w:before="100" w:beforeAutospacing="1" w:after="100" w:afterAutospacing="1" w:line="240" w:lineRule="auto"/>
        <w:jc w:val="both"/>
        <w:outlineLvl w:val="0"/>
        <w:rPr>
          <w:rFonts w:ascii="Arial" w:eastAsia="Times New Roman" w:hAnsi="Arial" w:cs="Arial"/>
          <w:color w:val="1C3144"/>
          <w:kern w:val="36"/>
          <w:sz w:val="24"/>
          <w:szCs w:val="24"/>
        </w:rPr>
      </w:pPr>
      <w:r w:rsidRPr="001F4F51">
        <w:rPr>
          <w:rFonts w:ascii="Arial" w:eastAsia="Times New Roman" w:hAnsi="Arial" w:cs="Arial"/>
          <w:color w:val="1C3144"/>
          <w:kern w:val="36"/>
          <w:sz w:val="24"/>
          <w:szCs w:val="24"/>
        </w:rPr>
        <w:t>Harnessing the power of clean, renewable energy, wind turbines have emerged as one of the most rapidly growing and cost-effective solutions for electricity generation. With over 350,000 wind turbines installed worldwide, boasting a combined capacity of over 650,000 MW, the demand for wind power continues to rise in the face of climate change. However, to maintain competitiveness, the industry must strive for optimal operational efficiency.</w:t>
      </w:r>
    </w:p>
    <w:p w14:paraId="13BE81C0" w14:textId="77777777" w:rsidR="001F4F51" w:rsidRPr="001F4F51" w:rsidRDefault="001F4F51" w:rsidP="001F4F51">
      <w:pPr>
        <w:shd w:val="clear" w:color="auto" w:fill="FFFFFF"/>
        <w:spacing w:before="100" w:beforeAutospacing="1" w:after="100" w:afterAutospacing="1" w:line="240" w:lineRule="auto"/>
        <w:jc w:val="both"/>
        <w:outlineLvl w:val="0"/>
        <w:rPr>
          <w:rFonts w:ascii="Arial" w:eastAsia="Times New Roman" w:hAnsi="Arial" w:cs="Arial"/>
          <w:color w:val="1C3144"/>
          <w:kern w:val="36"/>
          <w:sz w:val="24"/>
          <w:szCs w:val="24"/>
        </w:rPr>
      </w:pPr>
      <w:r w:rsidRPr="001F4F51">
        <w:rPr>
          <w:rFonts w:ascii="Arial" w:eastAsia="Times New Roman" w:hAnsi="Arial" w:cs="Arial"/>
          <w:color w:val="1C3144"/>
          <w:kern w:val="36"/>
          <w:sz w:val="24"/>
          <w:szCs w:val="24"/>
        </w:rPr>
        <w:t>According to the Institute for Energy Research, onshore wind power already stands out as a low-cost energy source, ranging from $45 to $92 per megawatt hour. While this is reasonably affordable, operators are actively seeking ways to further reduce costs, envisioning a future where wind energy stands on its own without subsidies.</w:t>
      </w:r>
    </w:p>
    <w:p w14:paraId="0E846C68" w14:textId="77777777" w:rsidR="001F4F51" w:rsidRPr="001F4F51" w:rsidRDefault="001F4F51" w:rsidP="001F4F51">
      <w:pPr>
        <w:shd w:val="clear" w:color="auto" w:fill="FFFFFF"/>
        <w:spacing w:before="100" w:beforeAutospacing="1" w:after="100" w:afterAutospacing="1" w:line="240" w:lineRule="auto"/>
        <w:jc w:val="both"/>
        <w:outlineLvl w:val="0"/>
        <w:rPr>
          <w:rFonts w:ascii="Arial" w:eastAsia="Times New Roman" w:hAnsi="Arial" w:cs="Arial"/>
          <w:b/>
          <w:bCs/>
          <w:color w:val="1C3144"/>
          <w:kern w:val="36"/>
          <w:sz w:val="24"/>
          <w:szCs w:val="24"/>
        </w:rPr>
      </w:pPr>
      <w:r w:rsidRPr="001F4F51">
        <w:rPr>
          <w:rFonts w:ascii="Arial" w:eastAsia="Times New Roman" w:hAnsi="Arial" w:cs="Arial"/>
          <w:b/>
          <w:bCs/>
          <w:color w:val="1C3144"/>
          <w:kern w:val="36"/>
          <w:sz w:val="24"/>
          <w:szCs w:val="24"/>
        </w:rPr>
        <w:t>The Life Expectancy of Wind Turbines</w:t>
      </w:r>
    </w:p>
    <w:p w14:paraId="093F9A77" w14:textId="77777777" w:rsidR="001F4F51" w:rsidRPr="001F4F51" w:rsidRDefault="001F4F51" w:rsidP="001F4F51">
      <w:pPr>
        <w:shd w:val="clear" w:color="auto" w:fill="FFFFFF"/>
        <w:spacing w:before="100" w:beforeAutospacing="1" w:after="100" w:afterAutospacing="1" w:line="240" w:lineRule="auto"/>
        <w:jc w:val="both"/>
        <w:outlineLvl w:val="0"/>
        <w:rPr>
          <w:rFonts w:ascii="Arial" w:eastAsia="Times New Roman" w:hAnsi="Arial" w:cs="Arial"/>
          <w:color w:val="1C3144"/>
          <w:kern w:val="36"/>
          <w:sz w:val="24"/>
          <w:szCs w:val="24"/>
        </w:rPr>
      </w:pPr>
      <w:r w:rsidRPr="001F4F51">
        <w:rPr>
          <w:rFonts w:ascii="Arial" w:eastAsia="Times New Roman" w:hAnsi="Arial" w:cs="Arial"/>
          <w:color w:val="1C3144"/>
          <w:kern w:val="36"/>
          <w:sz w:val="24"/>
          <w:szCs w:val="24"/>
        </w:rPr>
        <w:t>Typically designed to last 20 to 25 years, wind turbines experience varying failure rates throughout their lifespan. The initial years often present higher failure rates as operators work through teething issues with new turbine models or make necessary adjustments to operational controls. Once this "break-in" period passes, turbines typically run reliably for the next 15 years. However, as they approach the end of their operational life, failure rates rise, making it crucial for operators to mitigate failures at every stage.</w:t>
      </w:r>
    </w:p>
    <w:p w14:paraId="6815820C" w14:textId="77777777" w:rsidR="001F4F51" w:rsidRPr="001F4F51" w:rsidRDefault="001F4F51" w:rsidP="001F4F51">
      <w:pPr>
        <w:shd w:val="clear" w:color="auto" w:fill="FFFFFF"/>
        <w:spacing w:before="100" w:beforeAutospacing="1" w:after="100" w:afterAutospacing="1" w:line="240" w:lineRule="auto"/>
        <w:jc w:val="both"/>
        <w:outlineLvl w:val="0"/>
        <w:rPr>
          <w:rFonts w:ascii="Arial" w:eastAsia="Times New Roman" w:hAnsi="Arial" w:cs="Arial"/>
          <w:color w:val="1C3144"/>
          <w:kern w:val="36"/>
          <w:sz w:val="24"/>
          <w:szCs w:val="24"/>
        </w:rPr>
      </w:pPr>
      <w:r w:rsidRPr="001F4F51">
        <w:rPr>
          <w:rFonts w:ascii="Arial" w:eastAsia="Times New Roman" w:hAnsi="Arial" w:cs="Arial"/>
          <w:color w:val="1C3144"/>
          <w:kern w:val="36"/>
          <w:sz w:val="24"/>
          <w:szCs w:val="24"/>
        </w:rPr>
        <w:t>Wind turbines are complex machines, comprising numerous components such as electrical systems, sensors, hydraulics, rotor blades, mechanical brakes, gearboxes, generators, and more. Failures in any of these components result in varying periods of downtime. For instance, a gearbox failure, although infrequent, can lead to an average of six days of downtime, which translates into significant costs.</w:t>
      </w:r>
    </w:p>
    <w:p w14:paraId="1C2AF6C1" w14:textId="77777777" w:rsidR="001F4F51" w:rsidRPr="001F4F51" w:rsidRDefault="001F4F51" w:rsidP="001F4F51">
      <w:pPr>
        <w:shd w:val="clear" w:color="auto" w:fill="FFFFFF"/>
        <w:spacing w:before="100" w:beforeAutospacing="1" w:after="100" w:afterAutospacing="1" w:line="240" w:lineRule="auto"/>
        <w:jc w:val="both"/>
        <w:outlineLvl w:val="0"/>
        <w:rPr>
          <w:rFonts w:ascii="Arial" w:eastAsia="Times New Roman" w:hAnsi="Arial" w:cs="Arial"/>
          <w:color w:val="1C3144"/>
          <w:kern w:val="36"/>
          <w:sz w:val="24"/>
          <w:szCs w:val="24"/>
        </w:rPr>
      </w:pPr>
      <w:r w:rsidRPr="001F4F51">
        <w:rPr>
          <w:rFonts w:ascii="Arial" w:eastAsia="Times New Roman" w:hAnsi="Arial" w:cs="Arial"/>
          <w:color w:val="1C3144"/>
          <w:kern w:val="36"/>
          <w:sz w:val="24"/>
          <w:szCs w:val="24"/>
        </w:rPr>
        <w:t>While electrical failures are more common, their downtime durations are comparatively shorter. To minimize downtime and associated expenses, operators primarily focus on preventing gearbox, generator, and drivetrain failures, as these tend to cause the longest periods of inactivity.</w:t>
      </w:r>
    </w:p>
    <w:p w14:paraId="37490F46" w14:textId="77777777" w:rsidR="001F4F51" w:rsidRPr="001F4F51" w:rsidRDefault="001F4F51" w:rsidP="001F4F51">
      <w:pPr>
        <w:shd w:val="clear" w:color="auto" w:fill="FFFFFF"/>
        <w:spacing w:before="100" w:beforeAutospacing="1" w:after="100" w:afterAutospacing="1" w:line="240" w:lineRule="auto"/>
        <w:jc w:val="both"/>
        <w:outlineLvl w:val="0"/>
        <w:rPr>
          <w:rFonts w:ascii="Arial" w:eastAsia="Times New Roman" w:hAnsi="Arial" w:cs="Arial"/>
          <w:color w:val="1C3144"/>
          <w:kern w:val="36"/>
          <w:sz w:val="24"/>
          <w:szCs w:val="24"/>
        </w:rPr>
      </w:pPr>
      <w:r w:rsidRPr="001F4F51">
        <w:rPr>
          <w:rFonts w:ascii="Arial" w:eastAsia="Times New Roman" w:hAnsi="Arial" w:cs="Arial"/>
          <w:color w:val="1C3144"/>
          <w:kern w:val="36"/>
          <w:sz w:val="24"/>
          <w:szCs w:val="24"/>
        </w:rPr>
        <w:t>Adding to the challenge, every wind turbine is unique, situated in distinct locations and equipped with different types and brands of components. This diversity further complicates the task of effectively monitoring and maintaining wind turbines.</w:t>
      </w:r>
    </w:p>
    <w:p w14:paraId="08DBBD03" w14:textId="77777777" w:rsidR="001F4F51" w:rsidRPr="001F4F51" w:rsidRDefault="001F4F51" w:rsidP="001F4F51">
      <w:pPr>
        <w:shd w:val="clear" w:color="auto" w:fill="FFFFFF"/>
        <w:spacing w:before="100" w:beforeAutospacing="1" w:after="100" w:afterAutospacing="1" w:line="240" w:lineRule="auto"/>
        <w:jc w:val="both"/>
        <w:outlineLvl w:val="0"/>
        <w:rPr>
          <w:rFonts w:ascii="Arial" w:eastAsia="Times New Roman" w:hAnsi="Arial" w:cs="Arial"/>
          <w:b/>
          <w:bCs/>
          <w:color w:val="1C3144"/>
          <w:kern w:val="36"/>
          <w:sz w:val="24"/>
          <w:szCs w:val="24"/>
        </w:rPr>
      </w:pPr>
      <w:r w:rsidRPr="001F4F51">
        <w:rPr>
          <w:rFonts w:ascii="Arial" w:eastAsia="Times New Roman" w:hAnsi="Arial" w:cs="Arial"/>
          <w:b/>
          <w:bCs/>
          <w:color w:val="1C3144"/>
          <w:kern w:val="36"/>
          <w:sz w:val="24"/>
          <w:szCs w:val="24"/>
        </w:rPr>
        <w:t>The High Costs of Failures and Downtime</w:t>
      </w:r>
    </w:p>
    <w:p w14:paraId="70EEC1A0" w14:textId="77777777" w:rsidR="001F4F51" w:rsidRPr="001F4F51" w:rsidRDefault="001F4F51" w:rsidP="001F4F51">
      <w:pPr>
        <w:shd w:val="clear" w:color="auto" w:fill="FFFFFF"/>
        <w:spacing w:before="100" w:beforeAutospacing="1" w:after="100" w:afterAutospacing="1" w:line="240" w:lineRule="auto"/>
        <w:jc w:val="both"/>
        <w:outlineLvl w:val="0"/>
        <w:rPr>
          <w:rFonts w:ascii="Arial" w:eastAsia="Times New Roman" w:hAnsi="Arial" w:cs="Arial"/>
          <w:color w:val="1C3144"/>
          <w:kern w:val="36"/>
          <w:sz w:val="24"/>
          <w:szCs w:val="24"/>
        </w:rPr>
      </w:pPr>
      <w:r w:rsidRPr="001F4F51">
        <w:rPr>
          <w:rFonts w:ascii="Arial" w:eastAsia="Times New Roman" w:hAnsi="Arial" w:cs="Arial"/>
          <w:color w:val="1C3144"/>
          <w:kern w:val="36"/>
          <w:sz w:val="24"/>
          <w:szCs w:val="24"/>
        </w:rPr>
        <w:t xml:space="preserve">Efficient turbine performance necessitates a combination of planned and unplanned maintenance activities. However, the more time technicians spend on maintenance, the greater the expenses </w:t>
      </w:r>
      <w:proofErr w:type="gramStart"/>
      <w:r w:rsidRPr="001F4F51">
        <w:rPr>
          <w:rFonts w:ascii="Arial" w:eastAsia="Times New Roman" w:hAnsi="Arial" w:cs="Arial"/>
          <w:color w:val="1C3144"/>
          <w:kern w:val="36"/>
          <w:sz w:val="24"/>
          <w:szCs w:val="24"/>
        </w:rPr>
        <w:t>incurred</w:t>
      </w:r>
      <w:proofErr w:type="gramEnd"/>
      <w:r w:rsidRPr="001F4F51">
        <w:rPr>
          <w:rFonts w:ascii="Arial" w:eastAsia="Times New Roman" w:hAnsi="Arial" w:cs="Arial"/>
          <w:color w:val="1C3144"/>
          <w:kern w:val="36"/>
          <w:sz w:val="24"/>
          <w:szCs w:val="24"/>
        </w:rPr>
        <w:t xml:space="preserve">. Thus, the key lies in predicting and preventing failures </w:t>
      </w:r>
      <w:r w:rsidRPr="001F4F51">
        <w:rPr>
          <w:rFonts w:ascii="Arial" w:eastAsia="Times New Roman" w:hAnsi="Arial" w:cs="Arial"/>
          <w:color w:val="1C3144"/>
          <w:kern w:val="36"/>
          <w:sz w:val="24"/>
          <w:szCs w:val="24"/>
        </w:rPr>
        <w:lastRenderedPageBreak/>
        <w:t>before they occur. By monitoring indicators such as gearbox temperature or vibration, operators can identify potential failures in advance. Instead of relying on costly additional hardware sensors, operators leverage software solutions whenever possible, as they are more cost-effective and require less labor-intensive implementation.</w:t>
      </w:r>
    </w:p>
    <w:p w14:paraId="12871768" w14:textId="77777777" w:rsidR="001F4F51" w:rsidRPr="001F4F51" w:rsidRDefault="001F4F51" w:rsidP="001F4F51">
      <w:pPr>
        <w:shd w:val="clear" w:color="auto" w:fill="FFFFFF"/>
        <w:spacing w:before="100" w:beforeAutospacing="1" w:after="100" w:afterAutospacing="1" w:line="240" w:lineRule="auto"/>
        <w:jc w:val="both"/>
        <w:outlineLvl w:val="0"/>
        <w:rPr>
          <w:rFonts w:ascii="Arial" w:eastAsia="Times New Roman" w:hAnsi="Arial" w:cs="Arial"/>
          <w:color w:val="1C3144"/>
          <w:kern w:val="36"/>
          <w:sz w:val="24"/>
          <w:szCs w:val="24"/>
        </w:rPr>
      </w:pPr>
      <w:r w:rsidRPr="001F4F51">
        <w:rPr>
          <w:rFonts w:ascii="Arial" w:eastAsia="Times New Roman" w:hAnsi="Arial" w:cs="Arial"/>
          <w:color w:val="1C3144"/>
          <w:kern w:val="36"/>
          <w:sz w:val="24"/>
          <w:szCs w:val="24"/>
        </w:rPr>
        <w:t>Turbine maintenance stands as the most intricate and costly aspect of wind energy production. In 2019 alone, global onshore wind operations and maintenance costs reached nearly $15 billion. Within this figure, $8.5 billion was spent on unplanned repairs caused by component failures, as reported by Wood Mackenzie Power &amp; Renewables. These staggering costs have urged wind power plant owners to prioritize operational expenditures and seek innovative solutions to improve their bottom lines.</w:t>
      </w:r>
    </w:p>
    <w:p w14:paraId="6399A30E" w14:textId="77777777" w:rsidR="001F4F51" w:rsidRPr="001F4F51" w:rsidRDefault="001F4F51" w:rsidP="001F4F51">
      <w:pPr>
        <w:shd w:val="clear" w:color="auto" w:fill="FFFFFF"/>
        <w:spacing w:before="100" w:beforeAutospacing="1" w:after="100" w:afterAutospacing="1" w:line="240" w:lineRule="auto"/>
        <w:jc w:val="both"/>
        <w:outlineLvl w:val="0"/>
        <w:rPr>
          <w:rFonts w:ascii="Arial" w:eastAsia="Times New Roman" w:hAnsi="Arial" w:cs="Arial"/>
          <w:b/>
          <w:bCs/>
          <w:color w:val="1C3144"/>
          <w:kern w:val="36"/>
          <w:sz w:val="24"/>
          <w:szCs w:val="24"/>
        </w:rPr>
      </w:pPr>
      <w:r w:rsidRPr="001F4F51">
        <w:rPr>
          <w:rFonts w:ascii="Arial" w:eastAsia="Times New Roman" w:hAnsi="Arial" w:cs="Arial"/>
          <w:b/>
          <w:bCs/>
          <w:color w:val="1C3144"/>
          <w:kern w:val="36"/>
          <w:sz w:val="24"/>
          <w:szCs w:val="24"/>
        </w:rPr>
        <w:t>Enhancing Performance while Reducing Costs</w:t>
      </w:r>
    </w:p>
    <w:p w14:paraId="18114BB8" w14:textId="77777777" w:rsidR="001F4F51" w:rsidRPr="001F4F51" w:rsidRDefault="001F4F51" w:rsidP="001F4F51">
      <w:pPr>
        <w:shd w:val="clear" w:color="auto" w:fill="FFFFFF"/>
        <w:spacing w:before="100" w:beforeAutospacing="1" w:after="100" w:afterAutospacing="1" w:line="240" w:lineRule="auto"/>
        <w:jc w:val="both"/>
        <w:outlineLvl w:val="0"/>
        <w:rPr>
          <w:rFonts w:ascii="Arial" w:eastAsia="Times New Roman" w:hAnsi="Arial" w:cs="Arial"/>
          <w:color w:val="1C3144"/>
          <w:kern w:val="36"/>
          <w:sz w:val="24"/>
          <w:szCs w:val="24"/>
        </w:rPr>
      </w:pPr>
      <w:r w:rsidRPr="001F4F51">
        <w:rPr>
          <w:rFonts w:ascii="Arial" w:eastAsia="Times New Roman" w:hAnsi="Arial" w:cs="Arial"/>
          <w:color w:val="1C3144"/>
          <w:kern w:val="36"/>
          <w:sz w:val="24"/>
          <w:szCs w:val="24"/>
        </w:rPr>
        <w:t>Turbit Systems recognizes the immense potential of machine learning (ML) in reducing the complexity and costs associated with operation and maintenance in the wind energy industry. This serves as just one example of how ML and real-time data analysis can be harnessed across the energy sector. Other applications include optimized energy production, weather forecasting, building-energy management, demand response, and predictive equipment maintenance, among others.</w:t>
      </w:r>
    </w:p>
    <w:p w14:paraId="6A92A071" w14:textId="77777777" w:rsidR="001F4F51" w:rsidRDefault="001F4F51" w:rsidP="001F4F51">
      <w:pPr>
        <w:shd w:val="clear" w:color="auto" w:fill="FFFFFF"/>
        <w:spacing w:before="100" w:beforeAutospacing="1" w:after="100" w:afterAutospacing="1" w:line="240" w:lineRule="auto"/>
        <w:jc w:val="both"/>
        <w:outlineLvl w:val="0"/>
        <w:rPr>
          <w:rFonts w:ascii="Arial" w:eastAsia="Times New Roman" w:hAnsi="Arial" w:cs="Arial"/>
          <w:color w:val="1C3144"/>
          <w:kern w:val="36"/>
          <w:sz w:val="24"/>
          <w:szCs w:val="24"/>
        </w:rPr>
      </w:pPr>
      <w:r w:rsidRPr="001F4F51">
        <w:rPr>
          <w:rFonts w:ascii="Arial" w:eastAsia="Times New Roman" w:hAnsi="Arial" w:cs="Arial"/>
          <w:color w:val="1C3144"/>
          <w:kern w:val="36"/>
          <w:sz w:val="24"/>
          <w:szCs w:val="24"/>
        </w:rPr>
        <w:t>Predictive analytics has long been utilized by utilities, grid operators, transmission companies, and other entities in the electric industry to enhance operations, minimize downtime, and maximize revenues. Recent advancements in Internet of Things (IoT) sensors, stream processing technologies, and AI-based analytics</w:t>
      </w:r>
    </w:p>
    <w:p w14:paraId="584A06AB" w14:textId="77777777" w:rsidR="001F4F51" w:rsidRDefault="001F4F51" w:rsidP="001F4F51">
      <w:pPr>
        <w:shd w:val="clear" w:color="auto" w:fill="FFFFFF"/>
        <w:spacing w:before="100" w:beforeAutospacing="1" w:after="100" w:afterAutospacing="1" w:line="240" w:lineRule="auto"/>
        <w:jc w:val="both"/>
        <w:outlineLvl w:val="0"/>
        <w:rPr>
          <w:rFonts w:ascii="Arial" w:eastAsia="Times New Roman" w:hAnsi="Arial" w:cs="Arial"/>
          <w:color w:val="1C3144"/>
          <w:kern w:val="36"/>
          <w:sz w:val="24"/>
          <w:szCs w:val="24"/>
        </w:rPr>
      </w:pPr>
    </w:p>
    <w:p w14:paraId="20DF37D8" w14:textId="2E6E132A" w:rsidR="001F4F51" w:rsidRPr="001F4F51" w:rsidRDefault="001F4F51" w:rsidP="001F4F51">
      <w:pPr>
        <w:shd w:val="clear" w:color="auto" w:fill="FFFFFF"/>
        <w:spacing w:before="100" w:beforeAutospacing="1" w:after="100" w:afterAutospacing="1" w:line="240" w:lineRule="auto"/>
        <w:jc w:val="both"/>
        <w:outlineLvl w:val="0"/>
        <w:rPr>
          <w:rFonts w:ascii="Arial" w:eastAsia="Times New Roman" w:hAnsi="Arial" w:cs="Arial"/>
          <w:color w:val="1C3144"/>
          <w:kern w:val="36"/>
          <w:sz w:val="24"/>
          <w:szCs w:val="24"/>
        </w:rPr>
      </w:pPr>
      <w:r w:rsidRPr="001F4F51">
        <w:rPr>
          <w:rFonts w:ascii="Open Sans" w:eastAsia="Times New Roman" w:hAnsi="Open Sans" w:cs="Open Sans"/>
          <w:noProof/>
          <w:color w:val="1D3557"/>
          <w:sz w:val="24"/>
          <w:szCs w:val="24"/>
        </w:rPr>
        <w:lastRenderedPageBreak/>
        <w:drawing>
          <wp:inline distT="0" distB="0" distL="0" distR="0" wp14:anchorId="4FE206DA" wp14:editId="62635A47">
            <wp:extent cx="5943600" cy="3964940"/>
            <wp:effectExtent l="0" t="0" r="0" b="0"/>
            <wp:docPr id="2137023364" name="Picture 2137023364" descr="A picture containing generator, windmill, outdoor, sk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5197790" name="Picture 1" descr="A picture containing generator, windmill, outdoor, sky&#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964940"/>
                    </a:xfrm>
                    <a:prstGeom prst="rect">
                      <a:avLst/>
                    </a:prstGeom>
                    <a:noFill/>
                    <a:ln>
                      <a:noFill/>
                    </a:ln>
                  </pic:spPr>
                </pic:pic>
              </a:graphicData>
            </a:graphic>
          </wp:inline>
        </w:drawing>
      </w:r>
    </w:p>
    <w:p w14:paraId="2230886F" w14:textId="02A1BB30" w:rsidR="00945B52" w:rsidRDefault="00B105AD">
      <w:r>
        <w:rPr>
          <w:rFonts w:ascii="Arial" w:eastAsia="Times New Roman" w:hAnsi="Arial" w:cs="Arial"/>
          <w:b/>
          <w:bCs/>
          <w:color w:val="1C3144"/>
          <w:kern w:val="36"/>
          <w:sz w:val="48"/>
          <w:szCs w:val="48"/>
        </w:rPr>
        <w:t xml:space="preserve"> </w:t>
      </w:r>
    </w:p>
    <w:sectPr w:rsidR="00945B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C43A5C"/>
    <w:multiLevelType w:val="multilevel"/>
    <w:tmpl w:val="517682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9B9130E"/>
    <w:multiLevelType w:val="multilevel"/>
    <w:tmpl w:val="7BE8D7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35738817">
    <w:abstractNumId w:val="0"/>
  </w:num>
  <w:num w:numId="2" w16cid:durableId="20948906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4F51"/>
    <w:rsid w:val="001F4F51"/>
    <w:rsid w:val="00945B52"/>
    <w:rsid w:val="00B105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3B365C"/>
  <w15:chartTrackingRefBased/>
  <w15:docId w15:val="{D025DF41-1430-4DA6-BB75-CF3386D7B4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F4F5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F4F5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4F5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F4F51"/>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1F4F5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1F4F5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8149819">
      <w:bodyDiv w:val="1"/>
      <w:marLeft w:val="0"/>
      <w:marRight w:val="0"/>
      <w:marTop w:val="0"/>
      <w:marBottom w:val="0"/>
      <w:divBdr>
        <w:top w:val="none" w:sz="0" w:space="0" w:color="auto"/>
        <w:left w:val="none" w:sz="0" w:space="0" w:color="auto"/>
        <w:bottom w:val="none" w:sz="0" w:space="0" w:color="auto"/>
        <w:right w:val="none" w:sz="0" w:space="0" w:color="auto"/>
      </w:divBdr>
      <w:divsChild>
        <w:div w:id="1194226934">
          <w:marLeft w:val="0"/>
          <w:marRight w:val="0"/>
          <w:marTop w:val="0"/>
          <w:marBottom w:val="0"/>
          <w:divBdr>
            <w:top w:val="none" w:sz="0" w:space="0" w:color="auto"/>
            <w:left w:val="none" w:sz="0" w:space="0" w:color="auto"/>
            <w:bottom w:val="none" w:sz="0" w:space="0" w:color="auto"/>
            <w:right w:val="none" w:sz="0" w:space="0" w:color="auto"/>
          </w:divBdr>
          <w:divsChild>
            <w:div w:id="1216770124">
              <w:marLeft w:val="0"/>
              <w:marRight w:val="0"/>
              <w:marTop w:val="0"/>
              <w:marBottom w:val="0"/>
              <w:divBdr>
                <w:top w:val="none" w:sz="0" w:space="0" w:color="auto"/>
                <w:left w:val="none" w:sz="0" w:space="0" w:color="auto"/>
                <w:bottom w:val="none" w:sz="0" w:space="0" w:color="auto"/>
                <w:right w:val="none" w:sz="0" w:space="0" w:color="auto"/>
              </w:divBdr>
              <w:divsChild>
                <w:div w:id="1325934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8936229">
      <w:bodyDiv w:val="1"/>
      <w:marLeft w:val="0"/>
      <w:marRight w:val="0"/>
      <w:marTop w:val="0"/>
      <w:marBottom w:val="0"/>
      <w:divBdr>
        <w:top w:val="none" w:sz="0" w:space="0" w:color="auto"/>
        <w:left w:val="none" w:sz="0" w:space="0" w:color="auto"/>
        <w:bottom w:val="none" w:sz="0" w:space="0" w:color="auto"/>
        <w:right w:val="none" w:sz="0" w:space="0" w:color="auto"/>
      </w:divBdr>
    </w:div>
    <w:div w:id="1638798358">
      <w:bodyDiv w:val="1"/>
      <w:marLeft w:val="0"/>
      <w:marRight w:val="0"/>
      <w:marTop w:val="0"/>
      <w:marBottom w:val="0"/>
      <w:divBdr>
        <w:top w:val="none" w:sz="0" w:space="0" w:color="auto"/>
        <w:left w:val="none" w:sz="0" w:space="0" w:color="auto"/>
        <w:bottom w:val="none" w:sz="0" w:space="0" w:color="auto"/>
        <w:right w:val="none" w:sz="0" w:space="0" w:color="auto"/>
      </w:divBdr>
    </w:div>
    <w:div w:id="1711807995">
      <w:bodyDiv w:val="1"/>
      <w:marLeft w:val="0"/>
      <w:marRight w:val="0"/>
      <w:marTop w:val="0"/>
      <w:marBottom w:val="0"/>
      <w:divBdr>
        <w:top w:val="none" w:sz="0" w:space="0" w:color="auto"/>
        <w:left w:val="none" w:sz="0" w:space="0" w:color="auto"/>
        <w:bottom w:val="none" w:sz="0" w:space="0" w:color="auto"/>
        <w:right w:val="none" w:sz="0" w:space="0" w:color="auto"/>
      </w:divBdr>
    </w:div>
    <w:div w:id="2137528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customXml" Target="../customXml/item3.xml"/><Relationship Id="rId4" Type="http://schemas.openxmlformats.org/officeDocument/2006/relationships/webSettings" Target="webSetting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138FA127A35C84D913DA2E27A5BD30C" ma:contentTypeVersion="6" ma:contentTypeDescription="Create a new document." ma:contentTypeScope="" ma:versionID="2a8681c70f4531d5b4a8040cf124bb9b">
  <xsd:schema xmlns:xsd="http://www.w3.org/2001/XMLSchema" xmlns:xs="http://www.w3.org/2001/XMLSchema" xmlns:p="http://schemas.microsoft.com/office/2006/metadata/properties" xmlns:ns2="23fc91a8-f4e1-484d-b1a2-49d9d27f8917" targetNamespace="http://schemas.microsoft.com/office/2006/metadata/properties" ma:root="true" ma:fieldsID="7d15e8da0b7292d96d692515c0c19c7a" ns2:_="">
    <xsd:import namespace="23fc91a8-f4e1-484d-b1a2-49d9d27f8917"/>
    <xsd:element name="properties">
      <xsd:complexType>
        <xsd:sequence>
          <xsd:element name="documentManagement">
            <xsd:complexType>
              <xsd:all>
                <xsd:element ref="ns2:MediaServiceMetadata" minOccurs="0"/>
                <xsd:element ref="ns2:MediaServiceFastMetadata"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3fc91a8-f4e1-484d-b1a2-49d9d27f891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481E4DC-F362-486F-845F-8BCC80FF7D91}"/>
</file>

<file path=customXml/itemProps2.xml><?xml version="1.0" encoding="utf-8"?>
<ds:datastoreItem xmlns:ds="http://schemas.openxmlformats.org/officeDocument/2006/customXml" ds:itemID="{22E3049D-8663-4369-8EED-E566613F6ED4}"/>
</file>

<file path=customXml/itemProps3.xml><?xml version="1.0" encoding="utf-8"?>
<ds:datastoreItem xmlns:ds="http://schemas.openxmlformats.org/officeDocument/2006/customXml" ds:itemID="{B2D46C89-CD2D-48CE-B52D-FCFC48422666}"/>
</file>

<file path=docProps/app.xml><?xml version="1.0" encoding="utf-8"?>
<Properties xmlns="http://schemas.openxmlformats.org/officeDocument/2006/extended-properties" xmlns:vt="http://schemas.openxmlformats.org/officeDocument/2006/docPropsVTypes">
  <Template>Normal</Template>
  <TotalTime>14</TotalTime>
  <Pages>3</Pages>
  <Words>641</Words>
  <Characters>3657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Lic1</dc:creator>
  <cp:keywords/>
  <dc:description/>
  <cp:lastModifiedBy>Lic1</cp:lastModifiedBy>
  <cp:revision>1</cp:revision>
  <dcterms:created xsi:type="dcterms:W3CDTF">2023-07-02T19:15:00Z</dcterms:created>
  <dcterms:modified xsi:type="dcterms:W3CDTF">2023-07-02T19:29:00Z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0x0101002138FA127A35C84D913DA2E27A5BD30C</vt:lpwstr>
  </property>
</Properties>
</file>