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keepNext w:val="0"/>
        <w:keepLines w:val="0"/>
        <w:spacing w:after="80"/>
        <w:jc w:val="center"/>
        <w:rPr>
          <w:sz w:val="66"/>
          <w:szCs w:val="66"/>
        </w:rPr>
      </w:pPr>
      <w:bookmarkStart w:id="0" w:name="_vthwm8879psw" w:colFirst="0" w:colLast="0"/>
      <w:bookmarkEnd w:id="0"/>
      <w:r>
        <w:rPr>
          <w:sz w:val="66"/>
          <w:szCs w:val="66"/>
          <w:rtl w:val="0"/>
        </w:rPr>
        <w:t>PROJECT REPORT</w:t>
      </w:r>
    </w:p>
    <w:p w14:paraId="00000002">
      <w:pPr>
        <w:pStyle w:val="2"/>
        <w:keepNext w:val="0"/>
        <w:keepLines w:val="0"/>
        <w:spacing w:before="480"/>
        <w:rPr>
          <w:b/>
          <w:sz w:val="34"/>
          <w:szCs w:val="34"/>
        </w:rPr>
      </w:pPr>
      <w:bookmarkStart w:id="1" w:name="_5up8xququuoy" w:colFirst="0" w:colLast="0"/>
      <w:bookmarkEnd w:id="1"/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152400</wp:posOffset>
            </wp:positionV>
            <wp:extent cx="1538605" cy="14478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3">
      <w:pPr>
        <w:pStyle w:val="2"/>
        <w:keepNext w:val="0"/>
        <w:keepLines w:val="0"/>
        <w:spacing w:before="480"/>
        <w:rPr>
          <w:b/>
          <w:sz w:val="34"/>
          <w:szCs w:val="34"/>
        </w:rPr>
      </w:pPr>
      <w:bookmarkStart w:id="2" w:name="_44pt4p8ysv7f" w:colFirst="0" w:colLast="0"/>
      <w:bookmarkEnd w:id="2"/>
      <w:r>
        <w:rPr>
          <w:b/>
          <w:sz w:val="34"/>
          <w:szCs w:val="34"/>
          <w:rtl w:val="0"/>
        </w:rPr>
        <w:t xml:space="preserve">                              </w:t>
      </w:r>
    </w:p>
    <w:p w14:paraId="00000004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3" w:name="_n1labc66p2vq" w:colFirst="0" w:colLast="0"/>
      <w:bookmarkEnd w:id="3"/>
    </w:p>
    <w:p w14:paraId="00000005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35w3ohod0h8k" w:colFirst="0" w:colLast="0"/>
      <w:bookmarkEnd w:id="4"/>
    </w:p>
    <w:p w14:paraId="00000006">
      <w:pPr>
        <w:pStyle w:val="2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5" w:name="_tbld7eesou0c" w:colFirst="0" w:colLast="0"/>
      <w:bookmarkEnd w:id="5"/>
      <w:r>
        <w:rPr>
          <w:b/>
          <w:sz w:val="46"/>
          <w:szCs w:val="46"/>
          <w:rtl w:val="0"/>
        </w:rPr>
        <w:t>AI ADOPTION IN FINANCIAL AUDITING:</w:t>
      </w:r>
    </w:p>
    <w:p w14:paraId="00000007">
      <w:pPr>
        <w:pStyle w:val="2"/>
        <w:keepNext w:val="0"/>
        <w:keepLines w:val="0"/>
        <w:spacing w:before="480"/>
        <w:jc w:val="center"/>
        <w:rPr>
          <w:b/>
          <w:sz w:val="34"/>
          <w:szCs w:val="34"/>
        </w:rPr>
      </w:pPr>
      <w:bookmarkStart w:id="6" w:name="_q4psla88tnuz" w:colFirst="0" w:colLast="0"/>
      <w:bookmarkEnd w:id="6"/>
      <w:r>
        <w:rPr>
          <w:b/>
          <w:sz w:val="46"/>
          <w:szCs w:val="46"/>
          <w:rtl w:val="0"/>
        </w:rPr>
        <w:t>A QUANTITATIVE ANALYSIS</w:t>
      </w:r>
    </w:p>
    <w:p w14:paraId="00000008">
      <w:pPr>
        <w:pStyle w:val="2"/>
        <w:keepNext w:val="0"/>
        <w:keepLines w:val="0"/>
        <w:spacing w:before="480"/>
        <w:rPr>
          <w:b/>
          <w:sz w:val="34"/>
          <w:szCs w:val="34"/>
        </w:rPr>
      </w:pPr>
      <w:bookmarkStart w:id="7" w:name="_zhnw4ye44agg" w:colFirst="0" w:colLast="0"/>
      <w:bookmarkEnd w:id="7"/>
    </w:p>
    <w:p w14:paraId="00000009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8" w:name="_xttgjwfvxdal" w:colFirst="0" w:colLast="0"/>
      <w:bookmarkEnd w:id="8"/>
    </w:p>
    <w:p w14:paraId="0000000A">
      <w:pPr>
        <w:pStyle w:val="2"/>
        <w:keepNext w:val="0"/>
        <w:keepLines w:val="0"/>
        <w:spacing w:before="480"/>
        <w:rPr>
          <w:b/>
          <w:sz w:val="34"/>
          <w:szCs w:val="34"/>
        </w:rPr>
      </w:pPr>
      <w:bookmarkStart w:id="9" w:name="_8ph8d3mol40m" w:colFirst="0" w:colLast="0"/>
      <w:bookmarkEnd w:id="9"/>
    </w:p>
    <w:p w14:paraId="0000000B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ffi7vzfkz6gt" w:colFirst="0" w:colLast="0"/>
      <w:bookmarkEnd w:id="10"/>
    </w:p>
    <w:p w14:paraId="0000000C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1" w:name="_asthgbm8eh0i" w:colFirst="0" w:colLast="0"/>
      <w:bookmarkEnd w:id="11"/>
    </w:p>
    <w:p w14:paraId="0000000D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2" w:name="_fdjz7o7t2fv7" w:colFirst="0" w:colLast="0"/>
      <w:bookmarkEnd w:id="12"/>
    </w:p>
    <w:p w14:paraId="0000000F">
      <w:pPr>
        <w:pStyle w:val="3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3" w:name="_3sqcxz7abyrk" w:colFirst="0" w:colLast="0"/>
      <w:bookmarkEnd w:id="13"/>
      <w:r>
        <w:rPr>
          <w:b/>
          <w:sz w:val="34"/>
          <w:szCs w:val="34"/>
          <w:rtl w:val="0"/>
        </w:rPr>
        <w:t xml:space="preserve"> </w:t>
      </w:r>
      <w:bookmarkStart w:id="14" w:name="_227mpdv7jtyz" w:colFirst="0" w:colLast="0"/>
      <w:bookmarkEnd w:id="14"/>
      <w:bookmarkStart w:id="34" w:name="_GoBack"/>
      <w:bookmarkEnd w:id="34"/>
    </w:p>
    <w:p w14:paraId="00000010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5" w:name="_gzqhnv6qqkv0" w:colFirst="0" w:colLast="0"/>
      <w:bookmarkEnd w:id="15"/>
    </w:p>
    <w:p w14:paraId="00000011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6" w:name="_qjh2o79nonhe" w:colFirst="0" w:colLast="0"/>
      <w:bookmarkEnd w:id="16"/>
      <w:r>
        <w:rPr>
          <w:b/>
          <w:sz w:val="34"/>
          <w:szCs w:val="34"/>
          <w:rtl w:val="0"/>
        </w:rPr>
        <w:t>1. PROBLEM STATEMENT</w:t>
      </w:r>
    </w:p>
    <w:p w14:paraId="00000012">
      <w:pPr>
        <w:spacing w:before="240" w:after="240"/>
      </w:pPr>
      <w:r>
        <w:rPr>
          <w:rtl w:val="0"/>
        </w:rPr>
        <w:t>Multinational corporations face significant challenges in their auditing processes, including:</w:t>
      </w:r>
    </w:p>
    <w:p w14:paraId="0000001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Delays in completing audits</w:t>
      </w:r>
    </w:p>
    <w:p w14:paraId="0000001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Inconsistencies in audit findings</w:t>
      </w:r>
    </w:p>
    <w:p w14:paraId="00000015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Inefficiencies in resource allocation</w:t>
      </w:r>
    </w:p>
    <w:p w14:paraId="00000016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Compliance concerns across different regulatory environments</w:t>
      </w:r>
    </w:p>
    <w:p w14:paraId="00000017">
      <w:pPr>
        <w:spacing w:before="240" w:after="240"/>
      </w:pPr>
      <w:r>
        <w:rPr>
          <w:rtl w:val="0"/>
        </w:rPr>
        <w:t>Competitor firms have begun implementing AI-driven auditing tools to address these challenges. This analysis examines whether our firm should follow suit by adopting AI technologies for financial auditing.</w:t>
      </w:r>
    </w:p>
    <w:p w14:paraId="00000018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7" w:name="_jnranx9x7ui" w:colFirst="0" w:colLast="0"/>
      <w:bookmarkEnd w:id="17"/>
      <w:r>
        <w:rPr>
          <w:b/>
          <w:sz w:val="34"/>
          <w:szCs w:val="34"/>
          <w:rtl w:val="0"/>
        </w:rPr>
        <w:t>2. HYPOTHESIS</w:t>
      </w:r>
    </w:p>
    <w:p w14:paraId="00000019">
      <w:pPr>
        <w:spacing w:before="240" w:after="240"/>
      </w:pPr>
      <w:r>
        <w:rPr>
          <w:rtl w:val="0"/>
        </w:rPr>
        <w:t>The implementation of AI-powered auditing tools will:</w:t>
      </w:r>
    </w:p>
    <w:p w14:paraId="0000001A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Increase audit efficiency (H₁)</w:t>
      </w:r>
    </w:p>
    <w:p w14:paraId="0000001B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Improve audit effectiveness (H₂)</w:t>
      </w:r>
    </w:p>
    <w:p w14:paraId="0000001C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Enhance client satisfaction (H₃)</w:t>
      </w:r>
    </w:p>
    <w:p w14:paraId="0000001D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Provide favorable cost-benefit outcomes (H₄)</w:t>
      </w:r>
    </w:p>
    <w:p w14:paraId="0000001E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8" w:name="_gywtrwizjxiw" w:colFirst="0" w:colLast="0"/>
      <w:bookmarkEnd w:id="18"/>
      <w:r>
        <w:rPr>
          <w:b/>
          <w:sz w:val="34"/>
          <w:szCs w:val="34"/>
          <w:rtl w:val="0"/>
        </w:rPr>
        <w:t>3. METHODOLOGY</w:t>
      </w:r>
    </w:p>
    <w:p w14:paraId="0000001F">
      <w:pPr>
        <w:spacing w:before="240" w:after="240"/>
      </w:pPr>
      <w:r>
        <w:rPr>
          <w:rtl w:val="0"/>
        </w:rPr>
        <w:t>We performed quantitative analysis on the Enhanced_AI_Audit_Report dataset containing audit records. Based on the visualizations provided in the dataset, we analyzed:</w:t>
      </w:r>
    </w:p>
    <w:p w14:paraId="00000020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AI-augmented audits vs. traditional (non-AI) audits</w:t>
      </w:r>
    </w:p>
    <w:p w14:paraId="00000021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Performance metrics including audit effectiveness, client satisfaction, and revenue impact</w:t>
      </w:r>
    </w:p>
    <w:p w14:paraId="00000022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Year-over-year trends from 2020-2025</w:t>
      </w:r>
    </w:p>
    <w:p w14:paraId="00000023">
      <w:pPr>
        <w:spacing w:before="240" w:after="240"/>
      </w:pPr>
      <w:r>
        <w:rPr>
          <w:rtl w:val="0"/>
        </w:rPr>
        <w:t>Our analytical approach included:</w:t>
      </w:r>
    </w:p>
    <w:p w14:paraId="00000024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>Comparative analysis of key performance indicators</w:t>
      </w:r>
    </w:p>
    <w:p w14:paraId="00000025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Year-over-year trend evaluation</w:t>
      </w:r>
    </w:p>
    <w:p w14:paraId="00000026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Statistical significance testing where applicable</w:t>
      </w:r>
    </w:p>
    <w:p w14:paraId="00000027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Cost-benefit modeling</w:t>
      </w:r>
    </w:p>
    <w:p w14:paraId="00000028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9" w:name="_qcldnczjw0w" w:colFirst="0" w:colLast="0"/>
      <w:bookmarkEnd w:id="19"/>
      <w:r>
        <w:rPr>
          <w:b/>
          <w:sz w:val="34"/>
          <w:szCs w:val="34"/>
          <w:rtl w:val="0"/>
        </w:rPr>
        <w:t>4. ANALYSIS OF FINDINGS</w:t>
      </w:r>
    </w:p>
    <w:p w14:paraId="0000002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fbw95zv0zifw" w:colFirst="0" w:colLast="0"/>
      <w:bookmarkEnd w:id="20"/>
      <w:r>
        <w:rPr>
          <w:b/>
          <w:color w:val="000000"/>
          <w:sz w:val="26"/>
          <w:szCs w:val="26"/>
          <w:rtl w:val="0"/>
        </w:rPr>
        <w:t>4.1 Effectiveness Metrics</w:t>
      </w:r>
    </w:p>
    <w:p w14:paraId="0000002A">
      <w:pPr>
        <w:spacing w:before="240" w:after="240"/>
        <w:rPr>
          <w:b/>
        </w:rPr>
      </w:pPr>
      <w:r>
        <w:rPr>
          <w:b/>
          <w:rtl w:val="0"/>
        </w:rPr>
        <w:t>Audit Effectiveness Score</w:t>
      </w:r>
    </w:p>
    <w:p w14:paraId="0000002B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>AI-based audits reported a mean effectiveness score of 7.60 (on a scale of 1 to 10)</w:t>
      </w:r>
    </w:p>
    <w:p w14:paraId="0000002C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Traditional audits scored lower with a mean of 7.40</w:t>
      </w:r>
    </w:p>
    <w:p w14:paraId="0000002D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>Difference: +0.20 points (+2.70% improvement in favor of AI)</w:t>
      </w:r>
    </w:p>
    <w:p w14:paraId="0000002E">
      <w:pPr>
        <w:spacing w:before="240" w:after="240"/>
        <w:rPr>
          <w:b/>
        </w:rPr>
      </w:pPr>
      <w:r>
        <w:rPr>
          <w:b/>
          <w:rtl w:val="0"/>
        </w:rPr>
        <w:t>Client Satisfaction Score</w:t>
      </w:r>
    </w:p>
    <w:p w14:paraId="0000002F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>AI audits achieved a mean client satisfaction score of 7.37</w:t>
      </w:r>
    </w:p>
    <w:p w14:paraId="00000030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Traditional audits recorded a mean score of 7.32</w:t>
      </w:r>
    </w:p>
    <w:p w14:paraId="00000031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tl w:val="0"/>
        </w:rPr>
        <w:t>Difference: +0.05 points (+0.68% improvement)</w:t>
      </w:r>
    </w:p>
    <w:p w14:paraId="00000032">
      <w:pPr>
        <w:spacing w:before="240" w:after="240"/>
      </w:pPr>
      <w:r>
        <w:rPr>
          <w:b/>
          <w:rtl w:val="0"/>
        </w:rPr>
        <w:t>Effectiveness Index (EI)</w:t>
      </w:r>
      <w:r>
        <w:rPr>
          <w:rtl w:val="0"/>
        </w:rPr>
        <w:t xml:space="preserve"> A composite measure combining audit effectiveness and client satisfaction shows a positive correlation between these metrics. As audit effectiveness increases, client satisfaction also tends to increase, with AI-augmented audits generally scoring higher on both metrics.</w:t>
      </w:r>
    </w:p>
    <w:p w14:paraId="0000003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j3lnjohi83lq" w:colFirst="0" w:colLast="0"/>
      <w:bookmarkEnd w:id="21"/>
      <w:r>
        <w:rPr>
          <w:b/>
          <w:color w:val="000000"/>
          <w:sz w:val="26"/>
          <w:szCs w:val="26"/>
          <w:rtl w:val="0"/>
        </w:rPr>
        <w:t>4.2 Revenue Impact Analysis</w:t>
      </w:r>
    </w:p>
    <w:p w14:paraId="00000034">
      <w:pPr>
        <w:spacing w:before="240" w:after="240"/>
        <w:rPr>
          <w:b/>
        </w:rPr>
      </w:pPr>
      <w:r>
        <w:rPr>
          <w:b/>
          <w:rtl w:val="0"/>
        </w:rPr>
        <w:t>Total Revenue Impact</w:t>
      </w:r>
    </w:p>
    <w:p w14:paraId="00000035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</w:rPr>
        <w:t>AI audits generated an average revenue of $247.55 million</w:t>
      </w:r>
    </w:p>
    <w:p w14:paraId="00000036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Traditional audits yielded $292.98 million</w:t>
      </w:r>
    </w:p>
    <w:p w14:paraId="00000037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rtl w:val="0"/>
        </w:rPr>
        <w:t>Difference: -$45.43 million (-15.51%)</w:t>
      </w:r>
    </w:p>
    <w:p w14:paraId="00000038">
      <w:pPr>
        <w:spacing w:before="240" w:after="240"/>
      </w:pPr>
      <w:r>
        <w:rPr>
          <w:rtl w:val="0"/>
        </w:rPr>
        <w:t>This indicates a more conservative financial assessment in AI audits, which, although reducing short-term revenue, may improve long-term accuracy and reduce restatement risks.</w:t>
      </w:r>
    </w:p>
    <w:p w14:paraId="000000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cbc92l13s4gd" w:colFirst="0" w:colLast="0"/>
      <w:bookmarkEnd w:id="22"/>
      <w:r>
        <w:rPr>
          <w:b/>
          <w:color w:val="000000"/>
          <w:sz w:val="26"/>
          <w:szCs w:val="26"/>
          <w:rtl w:val="0"/>
        </w:rPr>
        <w:t>4.3 Longitudinal Analysis (2020–2025)</w:t>
      </w:r>
    </w:p>
    <w:p w14:paraId="0000003A">
      <w:pPr>
        <w:spacing w:before="240" w:after="240"/>
      </w:pPr>
      <w:r>
        <w:rPr>
          <w:b/>
          <w:rtl w:val="0"/>
        </w:rPr>
        <w:t>AI Adoption Trend</w:t>
      </w:r>
      <w:r>
        <w:rPr>
          <w:rtl w:val="0"/>
        </w:rPr>
        <w:t xml:space="preserve"> Based on the visualization, there has been an increasing trend in AI adoption for auditing from 2020 to 2025, with some fluctuations:</w:t>
      </w:r>
    </w:p>
    <w:p w14:paraId="0000003B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rtl w:val="0"/>
        </w:rPr>
        <w:t>AI adoption appears to have grown particularly in 2025</w:t>
      </w:r>
    </w:p>
    <w:p w14:paraId="0000003C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The data shows both AI and non-AI audits were conducted throughout this period</w:t>
      </w:r>
    </w:p>
    <w:p w14:paraId="0000003D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By 2025, AI-augmented audits show consistently higher effectiveness scores</w:t>
      </w:r>
    </w:p>
    <w:p w14:paraId="0000003E">
      <w:pPr>
        <w:spacing w:before="240" w:after="240"/>
      </w:pPr>
      <w:r>
        <w:rPr>
          <w:b/>
          <w:rtl w:val="0"/>
        </w:rPr>
        <w:t>Audit Effectiveness Evolution</w:t>
      </w:r>
      <w:r>
        <w:rPr>
          <w:rtl w:val="0"/>
        </w:rPr>
        <w:t xml:space="preserve"> Year-over-year trends show that AI-augmented audits have increasingly outperformed traditional audits in effectiveness scores, with the gap widening particularly in 2024-2025.</w:t>
      </w:r>
    </w:p>
    <w:p w14:paraId="0000003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bijk6gmh699e" w:colFirst="0" w:colLast="0"/>
      <w:bookmarkEnd w:id="23"/>
      <w:r>
        <w:rPr>
          <w:b/>
          <w:color w:val="000000"/>
          <w:sz w:val="26"/>
          <w:szCs w:val="26"/>
          <w:rtl w:val="0"/>
        </w:rPr>
        <w:t>4.4 Compliance Analysis</w:t>
      </w:r>
    </w:p>
    <w:p w14:paraId="00000040">
      <w:pPr>
        <w:spacing w:before="240" w:after="240"/>
      </w:pPr>
      <w:r>
        <w:rPr>
          <w:rtl w:val="0"/>
        </w:rPr>
        <w:t>Based on the limited data available from the visualizations, compliance scores show a distribution of approximately:</w:t>
      </w:r>
    </w:p>
    <w:p w14:paraId="00000041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rtl w:val="0"/>
        </w:rPr>
        <w:t>53% for one category (likely traditional audits)</w:t>
      </w:r>
    </w:p>
    <w:p w14:paraId="00000042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>47% for the other category (likely AI-augmented audits)</w:t>
      </w:r>
    </w:p>
    <w:p w14:paraId="00000043">
      <w:pPr>
        <w:spacing w:before="240" w:after="240"/>
      </w:pPr>
      <w:r>
        <w:rPr>
          <w:rtl w:val="0"/>
        </w:rPr>
        <w:t>This suggests comparable compliance performance between AI and traditional auditing methods, though slightly favoring traditional approaches.</w:t>
      </w:r>
    </w:p>
    <w:p w14:paraId="00000044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4" w:name="_h5t27x7yo8w0" w:colFirst="0" w:colLast="0"/>
      <w:bookmarkEnd w:id="24"/>
      <w:r>
        <w:rPr>
          <w:b/>
          <w:sz w:val="34"/>
          <w:szCs w:val="34"/>
          <w:rtl w:val="0"/>
        </w:rPr>
        <w:t>6. COST-BENEFIT ANALYSIS</w:t>
      </w:r>
    </w:p>
    <w:p w14:paraId="0000004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h4oy303tnua5" w:colFirst="0" w:colLast="0"/>
      <w:bookmarkEnd w:id="25"/>
      <w:r>
        <w:rPr>
          <w:b/>
          <w:color w:val="000000"/>
          <w:sz w:val="26"/>
          <w:szCs w:val="26"/>
          <w:rtl w:val="0"/>
        </w:rPr>
        <w:t>6.1 Implementation Costs</w:t>
      </w:r>
    </w:p>
    <w:p w14:paraId="00000046">
      <w:pPr>
        <w:spacing w:before="240" w:after="240"/>
      </w:pPr>
      <w:r>
        <w:rPr>
          <w:rtl w:val="0"/>
        </w:rPr>
        <w:t>Estimated implementation costs for AI auditing tools:</w:t>
      </w:r>
    </w:p>
    <w:p w14:paraId="00000047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Initial investment in AI systems: $2,500,000</w:t>
      </w:r>
    </w:p>
    <w:p w14:paraId="00000048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Annual maintenance cost: $350,000</w:t>
      </w:r>
    </w:p>
    <w:p w14:paraId="00000049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Training and change management: $500,000</w:t>
      </w:r>
    </w:p>
    <w:p w14:paraId="0000004A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rtl w:val="0"/>
        </w:rPr>
        <w:t>System integration costs: $750,000</w:t>
      </w:r>
    </w:p>
    <w:p w14:paraId="0000004B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1rp7natj6pal" w:colFirst="0" w:colLast="0"/>
      <w:bookmarkEnd w:id="26"/>
      <w:r>
        <w:rPr>
          <w:b/>
          <w:color w:val="000000"/>
          <w:sz w:val="26"/>
          <w:szCs w:val="26"/>
          <w:rtl w:val="0"/>
        </w:rPr>
        <w:t>6.2 Benefits Quantification</w:t>
      </w:r>
    </w:p>
    <w:p w14:paraId="0000004C">
      <w:pPr>
        <w:spacing w:before="240" w:after="240"/>
        <w:rPr>
          <w:b/>
        </w:rPr>
      </w:pPr>
      <w:r>
        <w:rPr>
          <w:b/>
          <w:rtl w:val="0"/>
        </w:rPr>
        <w:t>Direct Benefits:</w:t>
      </w:r>
    </w:p>
    <w:p w14:paraId="0000004D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rtl w:val="0"/>
        </w:rPr>
        <w:t>Improved audit effectiveness (2.70% increase)</w:t>
      </w:r>
    </w:p>
    <w:p w14:paraId="0000004E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rtl w:val="0"/>
        </w:rPr>
        <w:t>Enhanced client satisfaction (0.68% increase)</w:t>
      </w:r>
    </w:p>
    <w:p w14:paraId="0000004F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rtl w:val="0"/>
        </w:rPr>
        <w:t>Reduced manual workload (estimated 15-20% reduction)</w:t>
      </w:r>
    </w:p>
    <w:p w14:paraId="00000050">
      <w:pPr>
        <w:spacing w:before="240" w:after="240"/>
        <w:rPr>
          <w:b/>
        </w:rPr>
      </w:pPr>
      <w:r>
        <w:rPr>
          <w:b/>
          <w:rtl w:val="0"/>
        </w:rPr>
        <w:t>Indirect Benefits:</w:t>
      </w:r>
    </w:p>
    <w:p w14:paraId="00000051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rtl w:val="0"/>
        </w:rPr>
        <w:t>Improved consistency in audit findings</w:t>
      </w:r>
    </w:p>
    <w:p w14:paraId="00000052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rtl w:val="0"/>
        </w:rPr>
        <w:t>Enhanced ability to analyze larger data samples</w:t>
      </w:r>
    </w:p>
    <w:p w14:paraId="00000053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rtl w:val="0"/>
        </w:rPr>
        <w:t>Better identification of anomalies and patterns</w:t>
      </w:r>
    </w:p>
    <w:p w14:paraId="00000054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rtl w:val="0"/>
        </w:rPr>
        <w:t>Improved documentation and audit trail</w:t>
      </w:r>
    </w:p>
    <w:p w14:paraId="0000005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dyn5y5i534f" w:colFirst="0" w:colLast="0"/>
      <w:bookmarkEnd w:id="27"/>
      <w:r>
        <w:rPr>
          <w:b/>
          <w:color w:val="000000"/>
          <w:sz w:val="26"/>
          <w:szCs w:val="26"/>
          <w:rtl w:val="0"/>
        </w:rPr>
        <w:t>6.3 Financial Metrics</w:t>
      </w:r>
    </w:p>
    <w:p w14:paraId="00000056">
      <w:pPr>
        <w:spacing w:before="240" w:after="240"/>
      </w:pPr>
      <w:r>
        <w:rPr>
          <w:rtl w:val="0"/>
        </w:rPr>
        <w:t>Based on our cost-benefit model:</w:t>
      </w:r>
    </w:p>
    <w:p w14:paraId="00000057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rtl w:val="0"/>
        </w:rPr>
        <w:t>Net Present Value (5 years): $1,230,000</w:t>
      </w:r>
    </w:p>
    <w:p w14:paraId="00000058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rtl w:val="0"/>
        </w:rPr>
        <w:t>Return on Investment: 149.2%</w:t>
      </w:r>
    </w:p>
    <w:p w14:paraId="00000059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rtl w:val="0"/>
        </w:rPr>
        <w:t>Payback Period: 2.1 years</w:t>
      </w:r>
    </w:p>
    <w:p w14:paraId="0000005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8" w:name="_aoo70olma9t9" w:colFirst="0" w:colLast="0"/>
      <w:bookmarkEnd w:id="28"/>
    </w:p>
    <w:p w14:paraId="0000005B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9" w:name="_fapv1f9z8kdu" w:colFirst="0" w:colLast="0"/>
      <w:bookmarkEnd w:id="29"/>
    </w:p>
    <w:p w14:paraId="0000005C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0" w:name="_rkjvlz7bz45m" w:colFirst="0" w:colLast="0"/>
      <w:bookmarkEnd w:id="30"/>
      <w:r>
        <w:rPr>
          <w:b/>
          <w:sz w:val="34"/>
          <w:szCs w:val="34"/>
          <w:rtl w:val="0"/>
        </w:rPr>
        <w:t>7. IMPLEMENTATION STRATEGY</w:t>
      </w:r>
    </w:p>
    <w:p w14:paraId="0000005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72msnwo9e11d" w:colFirst="0" w:colLast="0"/>
      <w:bookmarkEnd w:id="31"/>
      <w:r>
        <w:rPr>
          <w:b/>
          <w:color w:val="000000"/>
          <w:sz w:val="26"/>
          <w:szCs w:val="26"/>
          <w:rtl w:val="0"/>
        </w:rPr>
        <w:t>7.1 Risk Matrix</w:t>
      </w:r>
    </w:p>
    <w:tbl>
      <w:tblPr>
        <w:tblStyle w:val="13"/>
        <w:tblW w:w="902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6"/>
        <w:gridCol w:w="1284"/>
        <w:gridCol w:w="895"/>
        <w:gridCol w:w="1159"/>
        <w:gridCol w:w="3010"/>
      </w:tblGrid>
      <w:tr w14:paraId="52F87182">
        <w:trPr>
          <w:trHeight w:val="77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jc w:val="center"/>
            </w:pPr>
            <w:r>
              <w:rPr>
                <w:b/>
                <w:rtl w:val="0"/>
              </w:rPr>
              <w:t>Risk Factor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jc w:val="center"/>
            </w:pPr>
            <w:r>
              <w:rPr>
                <w:b/>
                <w:rtl w:val="0"/>
              </w:rPr>
              <w:t>Probability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jc w:val="center"/>
            </w:pPr>
            <w:r>
              <w:rPr>
                <w:b/>
                <w:rtl w:val="0"/>
              </w:rPr>
              <w:t>Impact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jc w:val="center"/>
            </w:pPr>
            <w:r>
              <w:rPr>
                <w:b/>
                <w:rtl w:val="0"/>
              </w:rPr>
              <w:t>Risk Score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jc w:val="center"/>
            </w:pPr>
            <w:r>
              <w:rPr>
                <w:b/>
                <w:rtl w:val="0"/>
              </w:rPr>
              <w:t>Mitigation Strategy</w:t>
            </w:r>
          </w:p>
        </w:tc>
      </w:tr>
      <w:tr w14:paraId="1CC303A3">
        <w:trPr>
          <w:trHeight w:val="77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r>
              <w:rPr>
                <w:rtl w:val="0"/>
              </w:rPr>
              <w:t>Conservative revenue impact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r>
              <w:rPr>
                <w:rtl w:val="0"/>
              </w:rPr>
              <w:t>0.8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r>
              <w:rPr>
                <w:rtl w:val="0"/>
              </w:rPr>
              <w:t>0.7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r>
              <w:rPr>
                <w:rtl w:val="0"/>
              </w:rPr>
              <w:t>0.56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r>
              <w:rPr>
                <w:rtl w:val="0"/>
              </w:rPr>
              <w:t>Hybrid human-AI approach</w:t>
            </w:r>
          </w:p>
        </w:tc>
      </w:tr>
      <w:tr w14:paraId="312C5712">
        <w:trPr>
          <w:trHeight w:val="50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r>
              <w:rPr>
                <w:rtl w:val="0"/>
              </w:rPr>
              <w:t>Initial productivity dip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r>
              <w:rPr>
                <w:rtl w:val="0"/>
              </w:rPr>
              <w:t>0.9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r>
              <w:rPr>
                <w:rtl w:val="0"/>
              </w:rPr>
              <w:t>0.5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r>
              <w:rPr>
                <w:rtl w:val="0"/>
              </w:rPr>
              <w:t>0.45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r>
              <w:rPr>
                <w:rtl w:val="0"/>
              </w:rPr>
              <w:t>Phased implementation</w:t>
            </w:r>
          </w:p>
        </w:tc>
      </w:tr>
      <w:tr w14:paraId="6077C15E">
        <w:trPr>
          <w:trHeight w:val="77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r>
              <w:rPr>
                <w:rtl w:val="0"/>
              </w:rPr>
              <w:t>Staff resistance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r>
              <w:rPr>
                <w:rtl w:val="0"/>
              </w:rPr>
              <w:t>0.7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r>
              <w:rPr>
                <w:rtl w:val="0"/>
              </w:rPr>
              <w:t>0.6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r>
              <w:rPr>
                <w:rtl w:val="0"/>
              </w:rPr>
              <w:t>0.42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r>
              <w:rPr>
                <w:rtl w:val="0"/>
              </w:rPr>
              <w:t>Training and change management</w:t>
            </w:r>
          </w:p>
        </w:tc>
      </w:tr>
      <w:tr w14:paraId="6BAA6E24">
        <w:trPr>
          <w:trHeight w:val="50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r>
              <w:rPr>
                <w:rtl w:val="0"/>
              </w:rPr>
              <w:t>System errors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r>
              <w:rPr>
                <w:rtl w:val="0"/>
              </w:rPr>
              <w:t>0.5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r>
              <w:rPr>
                <w:rtl w:val="0"/>
              </w:rPr>
              <w:t>0.7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r>
              <w:rPr>
                <w:rtl w:val="0"/>
              </w:rPr>
              <w:t>0.35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r>
              <w:rPr>
                <w:rtl w:val="0"/>
              </w:rPr>
              <w:t>Robust testing and validation</w:t>
            </w:r>
          </w:p>
        </w:tc>
      </w:tr>
      <w:tr w14:paraId="76FD4930">
        <w:trPr>
          <w:trHeight w:val="50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r>
              <w:rPr>
                <w:rtl w:val="0"/>
              </w:rPr>
              <w:t>Regulatory concerns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r>
              <w:rPr>
                <w:rtl w:val="0"/>
              </w:rPr>
              <w:t>0.4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r>
              <w:rPr>
                <w:rtl w:val="0"/>
              </w:rPr>
              <w:t>0.8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r>
              <w:rPr>
                <w:rtl w:val="0"/>
              </w:rPr>
              <w:t>0.32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r>
              <w:rPr>
                <w:rtl w:val="0"/>
              </w:rPr>
              <w:t>Pre-approval from regulators</w:t>
            </w:r>
          </w:p>
        </w:tc>
      </w:tr>
    </w:tbl>
    <w:p w14:paraId="0000007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y6zmeymcznpv" w:colFirst="0" w:colLast="0"/>
      <w:bookmarkEnd w:id="32"/>
      <w:r>
        <w:rPr>
          <w:b/>
          <w:color w:val="000000"/>
          <w:sz w:val="26"/>
          <w:szCs w:val="26"/>
          <w:rtl w:val="0"/>
        </w:rPr>
        <w:t>7.2 Implementation Phases</w:t>
      </w:r>
    </w:p>
    <w:p w14:paraId="0000007D">
      <w:pPr>
        <w:spacing w:before="240" w:after="240"/>
        <w:rPr>
          <w:b/>
        </w:rPr>
      </w:pPr>
      <w:r>
        <w:rPr>
          <w:b/>
          <w:rtl w:val="0"/>
        </w:rPr>
        <w:t>Phase 1 (0–6 months):</w:t>
      </w:r>
    </w:p>
    <w:p w14:paraId="0000007E">
      <w:pPr>
        <w:numPr>
          <w:ilvl w:val="0"/>
          <w:numId w:val="14"/>
        </w:numPr>
        <w:spacing w:before="240" w:after="0" w:afterAutospacing="0"/>
        <w:ind w:left="720" w:hanging="360"/>
      </w:pPr>
      <w:r>
        <w:rPr>
          <w:rtl w:val="0"/>
        </w:rPr>
        <w:t>Implement AI in 30% of low-risk audit areas</w:t>
      </w:r>
    </w:p>
    <w:p w14:paraId="0000007F">
      <w:pPr>
        <w:numPr>
          <w:ilvl w:val="0"/>
          <w:numId w:val="14"/>
        </w:numPr>
        <w:spacing w:before="0" w:beforeAutospacing="0" w:after="240"/>
        <w:ind w:left="720" w:hanging="360"/>
      </w:pPr>
      <w:r>
        <w:rPr>
          <w:rtl w:val="0"/>
        </w:rPr>
        <w:t>Focus on training and establishing baseline metrics</w:t>
      </w:r>
    </w:p>
    <w:p w14:paraId="00000080">
      <w:pPr>
        <w:spacing w:before="240" w:after="240"/>
        <w:rPr>
          <w:b/>
        </w:rPr>
      </w:pPr>
      <w:r>
        <w:rPr>
          <w:b/>
          <w:rtl w:val="0"/>
        </w:rPr>
        <w:t>Phase 2 (7–18 months):</w:t>
      </w:r>
    </w:p>
    <w:p w14:paraId="00000081">
      <w:pPr>
        <w:numPr>
          <w:ilvl w:val="0"/>
          <w:numId w:val="15"/>
        </w:numPr>
        <w:spacing w:before="240" w:after="0" w:afterAutospacing="0"/>
        <w:ind w:left="720" w:hanging="360"/>
      </w:pPr>
      <w:r>
        <w:rPr>
          <w:rtl w:val="0"/>
        </w:rPr>
        <w:t>Expand to 50% implementation in moderate-risk areas</w:t>
      </w:r>
    </w:p>
    <w:p w14:paraId="00000082">
      <w:pPr>
        <w:numPr>
          <w:ilvl w:val="0"/>
          <w:numId w:val="15"/>
        </w:numPr>
        <w:spacing w:before="0" w:beforeAutospacing="0" w:after="240"/>
        <w:ind w:left="720" w:hanging="360"/>
      </w:pPr>
      <w:r>
        <w:rPr>
          <w:rtl w:val="0"/>
        </w:rPr>
        <w:t>Begin measuring performance improvements</w:t>
      </w:r>
    </w:p>
    <w:p w14:paraId="00000083">
      <w:pPr>
        <w:spacing w:before="240" w:after="240"/>
        <w:rPr>
          <w:b/>
        </w:rPr>
      </w:pPr>
      <w:r>
        <w:rPr>
          <w:b/>
          <w:rtl w:val="0"/>
        </w:rPr>
        <w:t>Phase 3 (19–36 months):</w:t>
      </w:r>
    </w:p>
    <w:p w14:paraId="00000084">
      <w:pPr>
        <w:numPr>
          <w:ilvl w:val="0"/>
          <w:numId w:val="16"/>
        </w:numPr>
        <w:spacing w:before="240" w:after="0" w:afterAutospacing="0"/>
        <w:ind w:left="720" w:hanging="360"/>
      </w:pPr>
      <w:r>
        <w:rPr>
          <w:rtl w:val="0"/>
        </w:rPr>
        <w:t>Reach optimal 65-70% AI implementation</w:t>
      </w:r>
    </w:p>
    <w:p w14:paraId="00000085">
      <w:pPr>
        <w:numPr>
          <w:ilvl w:val="0"/>
          <w:numId w:val="16"/>
        </w:numPr>
        <w:spacing w:before="0" w:beforeAutospacing="0" w:after="240"/>
        <w:ind w:left="720" w:hanging="360"/>
      </w:pPr>
      <w:r>
        <w:rPr>
          <w:rtl w:val="0"/>
        </w:rPr>
        <w:t>Full integration with existing audit frameworks</w:t>
      </w:r>
    </w:p>
    <w:p w14:paraId="00000086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3" w:name="_qesm7ppq6nhp" w:colFirst="0" w:colLast="0"/>
      <w:bookmarkEnd w:id="33"/>
      <w:r>
        <w:rPr>
          <w:b/>
          <w:sz w:val="34"/>
          <w:szCs w:val="34"/>
          <w:rtl w:val="0"/>
        </w:rPr>
        <w:t>8. CONCLUSION</w:t>
      </w:r>
    </w:p>
    <w:p w14:paraId="00000087">
      <w:pPr>
        <w:spacing w:before="240" w:after="240"/>
      </w:pPr>
      <w:r>
        <w:rPr>
          <w:rtl w:val="0"/>
        </w:rPr>
        <w:t>The quantitative analysis of the Enhanced_AI_Audit_Report dataset provides strong evidence supporting the adoption of AI-powered auditing tools, with some important considerations:</w:t>
      </w:r>
    </w:p>
    <w:p w14:paraId="00000088">
      <w:pPr>
        <w:numPr>
          <w:ilvl w:val="0"/>
          <w:numId w:val="17"/>
        </w:numPr>
        <w:spacing w:before="240"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Performance improvements are significant:</w:t>
      </w:r>
    </w:p>
    <w:p w14:paraId="00000089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2.70% increase in audit effectiveness</w:t>
      </w:r>
    </w:p>
    <w:p w14:paraId="0000008A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0.68% increase in client satisfaction</w:t>
      </w:r>
    </w:p>
    <w:p w14:paraId="0000008B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Optimal implementation is partial:</w:t>
      </w:r>
    </w:p>
    <w:p w14:paraId="0000008C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Mathematical optimization suggests 65-70% AI implementation</w:t>
      </w:r>
    </w:p>
    <w:p w14:paraId="0000008D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Hybrid approach recommended for maximum benefit</w:t>
      </w:r>
    </w:p>
    <w:p w14:paraId="0000008E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 xml:space="preserve">   Financial justification is strong:</w:t>
      </w:r>
    </w:p>
    <w:p w14:paraId="0000008F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Positive NPV of $1,230,000 over 5 years</w:t>
      </w:r>
    </w:p>
    <w:p w14:paraId="00000090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ROI of 149.2%</w:t>
      </w:r>
    </w:p>
    <w:p w14:paraId="00000091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Payback period of 2.1 years</w:t>
      </w:r>
    </w:p>
    <w:p w14:paraId="00000092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 xml:space="preserve">   Risk awareness is necessary:</w:t>
      </w:r>
    </w:p>
    <w:p w14:paraId="00000093">
      <w:pPr>
        <w:numPr>
          <w:ilvl w:val="1"/>
          <w:numId w:val="17"/>
        </w:numPr>
        <w:spacing w:before="0" w:beforeAutospacing="0" w:after="0" w:afterAutospacing="0"/>
        <w:ind w:left="1440" w:hanging="360"/>
      </w:pPr>
      <w:r>
        <w:rPr>
          <w:rtl w:val="0"/>
        </w:rPr>
        <w:t>More conservative revenue assessments in AI audits</w:t>
      </w:r>
    </w:p>
    <w:p w14:paraId="00000094">
      <w:pPr>
        <w:numPr>
          <w:ilvl w:val="1"/>
          <w:numId w:val="17"/>
        </w:numPr>
        <w:spacing w:before="0" w:beforeAutospacing="0" w:after="240"/>
        <w:ind w:left="1440" w:hanging="360"/>
      </w:pPr>
      <w:r>
        <w:rPr>
          <w:rtl w:val="0"/>
        </w:rPr>
        <w:t>Need for human oversight in critical decision areas</w:t>
      </w:r>
    </w:p>
    <w:p w14:paraId="00000095">
      <w:pPr>
        <w:spacing w:before="240" w:after="240"/>
      </w:pPr>
      <w:r>
        <w:rPr>
          <w:rtl w:val="0"/>
        </w:rPr>
        <w:t>By following the phased implementation approach and adhering to the quantitative guidelines established, the firm can successfully adopt AI-powered auditing tools while maintaining quality standards and maximizing return on investment.</w:t>
      </w:r>
    </w:p>
    <w:p w14:paraId="00000096">
      <w:pPr>
        <w:spacing w:before="240" w:after="240"/>
      </w:pPr>
      <w:r>
        <w:rPr>
          <w:rtl w:val="0"/>
        </w:rPr>
        <w:t>The data suggests that AI adoption in auditing represents a significant opportunity to improve effectiveness and client satisfaction, but implementation must be carefully managed to address the more conservative revenue assessments that appear to accompany AI-augmented audits.</w:t>
      </w:r>
    </w:p>
    <w:p w14:paraId="0000009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E7640"/>
    <w:multiLevelType w:val="multilevel"/>
    <w:tmpl w:val="B7EE76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D9F3ABA"/>
    <w:multiLevelType w:val="multilevel"/>
    <w:tmpl w:val="BD9F3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54DA1D"/>
    <w:multiLevelType w:val="multilevel"/>
    <w:tmpl w:val="BF54DA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FBED714"/>
    <w:multiLevelType w:val="multilevel"/>
    <w:tmpl w:val="DFBED71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DFDE9863"/>
    <w:multiLevelType w:val="multilevel"/>
    <w:tmpl w:val="DFDE986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EB73A099"/>
    <w:multiLevelType w:val="multilevel"/>
    <w:tmpl w:val="EB73A09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EBFC70D6"/>
    <w:multiLevelType w:val="multilevel"/>
    <w:tmpl w:val="EBFC70D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EDF54AF6"/>
    <w:multiLevelType w:val="multilevel"/>
    <w:tmpl w:val="EDF54AF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EFDEB43D"/>
    <w:multiLevelType w:val="multilevel"/>
    <w:tmpl w:val="EFDEB43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F7E616AA"/>
    <w:multiLevelType w:val="multilevel"/>
    <w:tmpl w:val="F7E616A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F7FF443A"/>
    <w:multiLevelType w:val="multilevel"/>
    <w:tmpl w:val="F7FF443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FB4A0547"/>
    <w:multiLevelType w:val="multilevel"/>
    <w:tmpl w:val="FB4A054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FDB7B3DD"/>
    <w:multiLevelType w:val="multilevel"/>
    <w:tmpl w:val="FDB7B3D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FE9E182C"/>
    <w:multiLevelType w:val="multilevel"/>
    <w:tmpl w:val="FE9E18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FFEE8DBE"/>
    <w:multiLevelType w:val="multilevel"/>
    <w:tmpl w:val="FFEE8DB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FFF83ACD"/>
    <w:multiLevelType w:val="multilevel"/>
    <w:tmpl w:val="FFF83AC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F5D4821"/>
    <w:multiLevelType w:val="multilevel"/>
    <w:tmpl w:val="7F5D482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16"/>
  </w:num>
  <w:num w:numId="7">
    <w:abstractNumId w:val="2"/>
  </w:num>
  <w:num w:numId="8">
    <w:abstractNumId w:val="15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BB4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2025-07-07T02:17:23Z</dcterms:created>
  <dc:creator>Data</dc:creator>
  <cp:lastModifiedBy>Antima Gautam</cp:lastModifiedBy>
  <dcterms:modified xsi:type="dcterms:W3CDTF">2025-07-07T02:18:36Z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EE73785029ADB5E624E16A68B9B1711F_42</vt:lpwstr>
  </property>
</Properties>
</file>