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20" w:before="0"/>
        <w:jc w:val="center"/>
      </w:pPr>
      <w:r>
        <w:rPr>
          <w:rFonts w:ascii="Arial" w:cs="Arial" w:eastAsia="Arial" w:hAnsi="Arial"/>
          <w:b/>
          <w:bCs/>
          <w:color w:val="C55A11"/>
          <w:spacing w:val="200"/>
          <w:sz w:val="20"/>
          <w:szCs w:val="20"/>
        </w:rPr>
        <w:t xml:space="preserve">RESEARCH PAPER</w:t>
      </w:r>
    </w:p>
    <w:p>
      <w:pPr>
        <w:spacing w:after="80" w:before="0"/>
        <w:jc w:val="center"/>
      </w:pPr>
      <w:r>
        <w:rPr>
          <w:rFonts w:ascii="Arial" w:cs="Arial" w:eastAsia="Arial" w:hAnsi="Arial"/>
          <w:b/>
          <w:bCs/>
          <w:color w:val="1F3864"/>
          <w:sz w:val="52"/>
          <w:szCs w:val="52"/>
        </w:rPr>
        <w:t xml:space="preserve">Predictive Modeling for Course Demand</w:t>
      </w:r>
    </w:p>
    <w:p>
      <w:pPr>
        <w:spacing w:after="480" w:before="0"/>
        <w:jc w:val="center"/>
      </w:pPr>
      <w:r>
        <w:rPr>
          <w:rFonts w:ascii="Arial" w:cs="Arial" w:eastAsia="Arial" w:hAnsi="Arial"/>
          <w:b/>
          <w:bCs/>
          <w:color w:val="1F3864"/>
          <w:sz w:val="52"/>
          <w:szCs w:val="52"/>
        </w:rPr>
        <w:t xml:space="preserve">and Revenue Forecasting on EduPro</w:t>
      </w:r>
    </w:p>
    <w:p>
      <w:pPr>
        <w:spacing w:after="720" w:before="0"/>
        <w:jc w:val="center"/>
      </w:pPr>
      <w:r>
        <w:rPr>
          <w:rFonts w:ascii="Arial" w:cs="Arial" w:eastAsia="Arial" w:hAnsi="Arial"/>
          <w:i/>
          <w:iCs/>
          <w:color w:val="505050"/>
          <w:sz w:val="26"/>
          <w:szCs w:val="26"/>
        </w:rPr>
        <w:t xml:space="preserve">A Machine Learning Approach to Proactive Course Planning</w:t>
      </w:r>
    </w:p>
    <w:p>
      <w:pPr>
        <w:jc w:val="center"/>
      </w:pPr>
      <w:r>
        <w:rPr>
          <w:rFonts w:ascii="Arial" w:cs="Arial" w:eastAsia="Arial" w:hAnsi="Arial"/>
          <w:b/>
          <w:bCs/>
          <w:sz w:val="22"/>
          <w:szCs w:val="22"/>
        </w:rPr>
        <w:t xml:space="preserve">Submitted to:</w:t>
      </w:r>
    </w:p>
    <w:p>
      <w:pPr>
        <w:jc w:val="center"/>
      </w:pPr>
      <w:r>
        <w:rPr>
          <w:rFonts w:ascii="Arial" w:cs="Arial" w:eastAsia="Arial" w:hAnsi="Arial"/>
          <w:sz w:val="22"/>
          <w:szCs w:val="22"/>
        </w:rPr>
        <w:t xml:space="preserve">Unified Mentor</w:t>
      </w:r>
    </w:p>
    <w:p>
      <w:pPr>
        <w:spacing w:after="120" w:before="120"/>
      </w:pPr>
      <w:r>
        <w:rPr>
          <w:sz w:val="22"/>
          <w:szCs w:val="22"/>
        </w:rPr>
        <w:t xml:space="preserve"> </w:t>
      </w:r>
    </w:p>
    <w:p>
      <w:pPr>
        <w:jc w:val="center"/>
      </w:pPr>
      <w:r>
        <w:rPr>
          <w:rFonts w:ascii="Arial" w:cs="Arial" w:eastAsia="Arial" w:hAnsi="Arial"/>
          <w:sz w:val="22"/>
          <w:szCs w:val="22"/>
        </w:rPr>
        <w:t xml:space="preserve">Platform: EduPro Online Learning</w:t>
      </w:r>
    </w:p>
    <w:p>
      <w:pPr>
        <w:jc w:val="center"/>
      </w:pPr>
      <w:r>
        <w:rPr>
          <w:rFonts w:ascii="Arial" w:cs="Arial" w:eastAsia="Arial" w:hAnsi="Arial"/>
          <w:sz w:val="22"/>
          <w:szCs w:val="22"/>
        </w:rPr>
        <w:t xml:space="preserve">Dataset: 60 Courses · 60 Teachers · 10,000 Transactions</w:t>
      </w:r>
    </w:p>
    <w:p>
      <w:pPr>
        <w:jc w:val="center"/>
      </w:pPr>
      <w:r>
        <w:rPr>
          <w:rFonts w:ascii="Arial" w:cs="Arial" w:eastAsia="Arial" w:hAnsi="Arial"/>
          <w:sz w:val="22"/>
          <w:szCs w:val="22"/>
        </w:rPr>
        <w:t xml:space="preserve">Tools: Python · scikit-learn · Streamlit · Plotly</w:t>
      </w:r>
    </w:p>
    <w:p>
      <w:pPr>
        <w:spacing w:before="720"/>
      </w:pPr>
      <w:r>
        <w:rPr>
          <w:sz w:val="22"/>
          <w:szCs w:val="22"/>
        </w:rPr>
        <w:t xml:space="preserve"> </w:t>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Abstract</w:t>
      </w:r>
    </w:p>
    <w:p>
      <w:pPr>
        <w:spacing w:after="80" w:before="80"/>
        <w:jc w:val="left"/>
      </w:pPr>
      <w:r>
        <w:rPr>
          <w:rFonts w:ascii="Arial" w:cs="Arial" w:eastAsia="Arial" w:hAnsi="Arial"/>
          <w:b w:val="false"/>
          <w:bCs w:val="false"/>
          <w:i w:val="false"/>
          <w:iCs w:val="false"/>
          <w:color w:val="000000"/>
          <w:sz w:val="22"/>
          <w:szCs w:val="22"/>
        </w:rPr>
        <w:t xml:space="preserve">This paper presents a comprehensive machine learning solution for EduPro, an online learning platform, to predict course enrollment demand and revenue. Using a merged dataset of 60 courses, 60 teachers, and 10,000 transactions, we engineer a high-dimensional feature space and evaluate five regression models: Linear Regression, Ridge Regression, Lasso Regression, Random Forest Regressor, and Gradient Boosting Regressor.</w:t>
      </w:r>
    </w:p>
    <w:p>
      <w:pPr>
        <w:spacing w:after="80" w:before="80"/>
        <w:jc w:val="left"/>
      </w:pPr>
      <w:r>
        <w:rPr>
          <w:rFonts w:ascii="Arial" w:cs="Arial" w:eastAsia="Arial" w:hAnsi="Arial"/>
          <w:b w:val="false"/>
          <w:bCs w:val="false"/>
          <w:i w:val="false"/>
          <w:iCs w:val="false"/>
          <w:color w:val="000000"/>
          <w:sz w:val="22"/>
          <w:szCs w:val="22"/>
        </w:rPr>
        <w:t xml:space="preserve">Our results demonstrate that course revenue is highly predictable — Ridge Regression achieves an R² score of 0.984 and cross-validated R² of 0.9918, confirming reliable production-ready revenue forecasting. Enrollment prediction, while challenging (best R² = 0.053), reveals that course rating and duration are the dominant enrollment drivers, while course price is the single strongest revenue predictor (97.7% feature importance).</w:t>
      </w:r>
    </w:p>
    <w:p>
      <w:pPr>
        <w:spacing w:after="80" w:before="80"/>
        <w:jc w:val="left"/>
      </w:pPr>
      <w:r>
        <w:rPr>
          <w:rFonts w:ascii="Arial" w:cs="Arial" w:eastAsia="Arial" w:hAnsi="Arial"/>
          <w:b w:val="false"/>
          <w:bCs w:val="false"/>
          <w:i w:val="false"/>
          <w:iCs w:val="false"/>
          <w:color w:val="000000"/>
          <w:sz w:val="22"/>
          <w:szCs w:val="22"/>
        </w:rPr>
        <w:t xml:space="preserve">The findings are deployed as an interactive Streamlit web application, enabling EduPro stakeholders to forecast revenue for new courses, explore category-level demand patterns, and receive data-driven pricing and content recommendations.</w:t>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1. Introduction</w:t>
      </w:r>
    </w:p>
    <w:p>
      <w:pPr>
        <w:pStyle w:val="Heading2"/>
        <w:spacing w:after="120" w:before="240"/>
      </w:pPr>
      <w:r>
        <w:rPr>
          <w:rFonts w:ascii="Arial" w:cs="Arial" w:eastAsia="Arial" w:hAnsi="Arial"/>
          <w:b/>
          <w:bCs/>
          <w:color w:val="C55A11"/>
          <w:sz w:val="26"/>
          <w:szCs w:val="26"/>
        </w:rPr>
        <w:t xml:space="preserve">1.1 Background</w:t>
      </w:r>
    </w:p>
    <w:p>
      <w:pPr>
        <w:spacing w:after="80" w:before="80"/>
        <w:jc w:val="left"/>
      </w:pPr>
      <w:r>
        <w:rPr>
          <w:rFonts w:ascii="Arial" w:cs="Arial" w:eastAsia="Arial" w:hAnsi="Arial"/>
          <w:b w:val="false"/>
          <w:bCs w:val="false"/>
          <w:i w:val="false"/>
          <w:iCs w:val="false"/>
          <w:color w:val="000000"/>
          <w:sz w:val="22"/>
          <w:szCs w:val="22"/>
        </w:rPr>
        <w:t xml:space="preserve">The online education market has grown exponentially, with platforms competing on breadth of content, quality of instruction, and price. EduPro operates in this competitive environment, offering courses across 12 categories including Artificial Intelligence, Business, Data Science, and Programming. Despite accumulating substantial historical data, EduPro lacks systematic tools to forecast which courses will succeed financially before launch.</w:t>
      </w:r>
    </w:p>
    <w:p>
      <w:pPr>
        <w:spacing w:after="80" w:before="80"/>
        <w:jc w:val="left"/>
      </w:pPr>
      <w:r>
        <w:rPr>
          <w:rFonts w:ascii="Arial" w:cs="Arial" w:eastAsia="Arial" w:hAnsi="Arial"/>
          <w:b w:val="false"/>
          <w:bCs w:val="false"/>
          <w:i w:val="false"/>
          <w:iCs w:val="false"/>
          <w:color w:val="000000"/>
          <w:sz w:val="22"/>
          <w:szCs w:val="22"/>
        </w:rPr>
        <w:t xml:space="preserve">Traditional reactive reporting — reviewing past enrollment and revenue after the fact — leaves EduPro unable to make proactive decisions about course portfolio, pricing strategy, and instructor recruitment. This project addresses that gap by building a predictive analytics system grounded in machine learning.</w:t>
      </w:r>
    </w:p>
    <w:p>
      <w:pPr>
        <w:pStyle w:val="Heading2"/>
        <w:spacing w:after="120" w:before="240"/>
      </w:pPr>
      <w:r>
        <w:rPr>
          <w:rFonts w:ascii="Arial" w:cs="Arial" w:eastAsia="Arial" w:hAnsi="Arial"/>
          <w:b/>
          <w:bCs/>
          <w:color w:val="C55A11"/>
          <w:sz w:val="26"/>
          <w:szCs w:val="26"/>
        </w:rPr>
        <w:t xml:space="preserve">1.2 Problem Statement</w:t>
      </w:r>
    </w:p>
    <w:p>
      <w:pPr>
        <w:spacing w:after="80" w:before="80"/>
        <w:jc w:val="left"/>
      </w:pPr>
      <w:r>
        <w:rPr>
          <w:rFonts w:ascii="Arial" w:cs="Arial" w:eastAsia="Arial" w:hAnsi="Arial"/>
          <w:b w:val="false"/>
          <w:bCs w:val="false"/>
          <w:i w:val="false"/>
          <w:iCs w:val="false"/>
          <w:color w:val="000000"/>
          <w:sz w:val="22"/>
          <w:szCs w:val="22"/>
        </w:rPr>
        <w:t xml:space="preserve">EduPro currently lacks:</w:t>
      </w:r>
    </w:p>
    <w:p>
      <w:pPr>
        <w:pStyle w:val="ListParagraph"/>
        <w:numPr>
          <w:ilvl w:val="0"/>
          <w:numId w:val="2"/>
        </w:numPr>
        <w:spacing w:after="40" w:before="40"/>
      </w:pPr>
      <w:r>
        <w:rPr>
          <w:rFonts w:ascii="Arial" w:cs="Arial" w:eastAsia="Arial" w:hAnsi="Arial"/>
          <w:sz w:val="22"/>
          <w:szCs w:val="22"/>
        </w:rPr>
        <w:t xml:space="preserve">Predictive models for course enrollment demand</w:t>
      </w:r>
    </w:p>
    <w:p>
      <w:pPr>
        <w:pStyle w:val="ListParagraph"/>
        <w:numPr>
          <w:ilvl w:val="0"/>
          <w:numId w:val="2"/>
        </w:numPr>
        <w:spacing w:after="40" w:before="40"/>
      </w:pPr>
      <w:r>
        <w:rPr>
          <w:rFonts w:ascii="Arial" w:cs="Arial" w:eastAsia="Arial" w:hAnsi="Arial"/>
          <w:sz w:val="22"/>
          <w:szCs w:val="22"/>
        </w:rPr>
        <w:t xml:space="preserve">Revenue forecasting at course and category level</w:t>
      </w:r>
    </w:p>
    <w:p>
      <w:pPr>
        <w:pStyle w:val="ListParagraph"/>
        <w:numPr>
          <w:ilvl w:val="0"/>
          <w:numId w:val="2"/>
        </w:numPr>
        <w:spacing w:after="40" w:before="40"/>
      </w:pPr>
      <w:r>
        <w:rPr>
          <w:rFonts w:ascii="Arial" w:cs="Arial" w:eastAsia="Arial" w:hAnsi="Arial"/>
          <w:sz w:val="22"/>
          <w:szCs w:val="22"/>
        </w:rPr>
        <w:t xml:space="preserve">Quantitative evidence to support course launch and pricing decisions</w:t>
      </w:r>
    </w:p>
    <w:p>
      <w:pPr>
        <w:spacing w:after="80" w:before="80"/>
        <w:jc w:val="left"/>
      </w:pPr>
      <w:r>
        <w:rPr>
          <w:rFonts w:ascii="Arial" w:cs="Arial" w:eastAsia="Arial" w:hAnsi="Arial"/>
          <w:b w:val="false"/>
          <w:bCs w:val="false"/>
          <w:i w:val="false"/>
          <w:iCs w:val="false"/>
          <w:color w:val="000000"/>
          <w:sz w:val="22"/>
          <w:szCs w:val="22"/>
        </w:rPr>
        <w:t xml:space="preserve">As a result, course planning relies on historical intuition rather than data-driven forecasts, increasing business risk and leading to sub-optimal resource allocation.</w:t>
      </w:r>
    </w:p>
    <w:p>
      <w:pPr>
        <w:pStyle w:val="Heading2"/>
        <w:spacing w:after="120" w:before="240"/>
      </w:pPr>
      <w:r>
        <w:rPr>
          <w:rFonts w:ascii="Arial" w:cs="Arial" w:eastAsia="Arial" w:hAnsi="Arial"/>
          <w:b/>
          <w:bCs/>
          <w:color w:val="C55A11"/>
          <w:sz w:val="26"/>
          <w:szCs w:val="26"/>
        </w:rPr>
        <w:t xml:space="preserve">1.3 Research Objectives</w:t>
      </w:r>
    </w:p>
    <w:p>
      <w:pPr>
        <w:spacing w:after="80" w:before="80"/>
        <w:jc w:val="left"/>
      </w:pPr>
      <w:r>
        <w:rPr>
          <w:rFonts w:ascii="Arial" w:cs="Arial" w:eastAsia="Arial" w:hAnsi="Arial"/>
          <w:b w:val="false"/>
          <w:bCs w:val="false"/>
          <w:i w:val="false"/>
          <w:iCs w:val="false"/>
          <w:color w:val="000000"/>
          <w:sz w:val="22"/>
          <w:szCs w:val="22"/>
        </w:rPr>
        <w:t xml:space="preserve">This study aims to:</w:t>
      </w:r>
    </w:p>
    <w:p>
      <w:pPr>
        <w:pStyle w:val="ListParagraph"/>
        <w:numPr>
          <w:ilvl w:val="0"/>
          <w:numId w:val="2"/>
        </w:numPr>
        <w:spacing w:after="40" w:before="40"/>
      </w:pPr>
      <w:r>
        <w:rPr>
          <w:rFonts w:ascii="Arial" w:cs="Arial" w:eastAsia="Arial" w:hAnsi="Arial"/>
          <w:sz w:val="22"/>
          <w:szCs w:val="22"/>
        </w:rPr>
        <w:t xml:space="preserve">Merge and analyse course, instructor, and transaction data to identify key demand drivers</w:t>
      </w:r>
    </w:p>
    <w:p>
      <w:pPr>
        <w:pStyle w:val="ListParagraph"/>
        <w:numPr>
          <w:ilvl w:val="0"/>
          <w:numId w:val="2"/>
        </w:numPr>
        <w:spacing w:after="40" w:before="40"/>
      </w:pPr>
      <w:r>
        <w:rPr>
          <w:rFonts w:ascii="Arial" w:cs="Arial" w:eastAsia="Arial" w:hAnsi="Arial"/>
          <w:sz w:val="22"/>
          <w:szCs w:val="22"/>
        </w:rPr>
        <w:t xml:space="preserve">Engineer a high-dimensional feature space capturing course characteristics, instructor attributes, and historical performance</w:t>
      </w:r>
    </w:p>
    <w:p>
      <w:pPr>
        <w:pStyle w:val="ListParagraph"/>
        <w:numPr>
          <w:ilvl w:val="0"/>
          <w:numId w:val="2"/>
        </w:numPr>
        <w:spacing w:after="40" w:before="40"/>
      </w:pPr>
      <w:r>
        <w:rPr>
          <w:rFonts w:ascii="Arial" w:cs="Arial" w:eastAsia="Arial" w:hAnsi="Arial"/>
          <w:sz w:val="22"/>
          <w:szCs w:val="22"/>
        </w:rPr>
        <w:t xml:space="preserve">Train and compare five regression models on two prediction targets: enrollment count and course revenue</w:t>
      </w:r>
    </w:p>
    <w:p>
      <w:pPr>
        <w:pStyle w:val="ListParagraph"/>
        <w:numPr>
          <w:ilvl w:val="0"/>
          <w:numId w:val="2"/>
        </w:numPr>
        <w:spacing w:after="40" w:before="40"/>
      </w:pPr>
      <w:r>
        <w:rPr>
          <w:rFonts w:ascii="Arial" w:cs="Arial" w:eastAsia="Arial" w:hAnsi="Arial"/>
          <w:sz w:val="22"/>
          <w:szCs w:val="22"/>
        </w:rPr>
        <w:t xml:space="preserve">Identify the most important features driving demand and revenue through feature importance analysis</w:t>
      </w:r>
    </w:p>
    <w:p>
      <w:pPr>
        <w:pStyle w:val="ListParagraph"/>
        <w:numPr>
          <w:ilvl w:val="0"/>
          <w:numId w:val="2"/>
        </w:numPr>
        <w:spacing w:after="40" w:before="40"/>
      </w:pPr>
      <w:r>
        <w:rPr>
          <w:rFonts w:ascii="Arial" w:cs="Arial" w:eastAsia="Arial" w:hAnsi="Arial"/>
          <w:sz w:val="22"/>
          <w:szCs w:val="22"/>
        </w:rPr>
        <w:t xml:space="preserve">Deploy a production-ready Streamlit application for interactive forecasting</w:t>
      </w:r>
    </w:p>
    <w:p>
      <w:pPr>
        <w:pStyle w:val="ListParagraph"/>
        <w:numPr>
          <w:ilvl w:val="0"/>
          <w:numId w:val="2"/>
        </w:numPr>
        <w:spacing w:after="40" w:before="40"/>
      </w:pPr>
      <w:r>
        <w:rPr>
          <w:rFonts w:ascii="Arial" w:cs="Arial" w:eastAsia="Arial" w:hAnsi="Arial"/>
          <w:sz w:val="22"/>
          <w:szCs w:val="22"/>
        </w:rPr>
        <w:t xml:space="preserve">Provide actionable business recommendations grounded in model findings</w:t>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2. Related Work</w:t>
      </w:r>
    </w:p>
    <w:p>
      <w:pPr>
        <w:spacing w:after="80" w:before="80"/>
        <w:jc w:val="left"/>
      </w:pPr>
      <w:r>
        <w:rPr>
          <w:rFonts w:ascii="Arial" w:cs="Arial" w:eastAsia="Arial" w:hAnsi="Arial"/>
          <w:b w:val="false"/>
          <w:bCs w:val="false"/>
          <w:i w:val="false"/>
          <w:iCs w:val="false"/>
          <w:color w:val="000000"/>
          <w:sz w:val="22"/>
          <w:szCs w:val="22"/>
        </w:rPr>
        <w:t xml:space="preserve">Predictive analytics in education (Educational Data Mining, or EDM) has focused primarily on learner performance prediction — identifying at-risk students and forecasting completion rates. Romero and Ventura (2010) provide a comprehensive survey of data mining applications in e-learning, emphasising classification models for student outcome prediction.</w:t>
      </w:r>
    </w:p>
    <w:p>
      <w:pPr>
        <w:spacing w:after="80" w:before="80"/>
        <w:jc w:val="left"/>
      </w:pPr>
      <w:r>
        <w:rPr>
          <w:rFonts w:ascii="Arial" w:cs="Arial" w:eastAsia="Arial" w:hAnsi="Arial"/>
          <w:b w:val="false"/>
          <w:bCs w:val="false"/>
          <w:i w:val="false"/>
          <w:iCs w:val="false"/>
          <w:color w:val="000000"/>
          <w:sz w:val="22"/>
          <w:szCs w:val="22"/>
        </w:rPr>
        <w:t xml:space="preserve">Revenue and demand forecasting in online education has received comparatively less attention. Baker (2016) applied regression trees to MOOC enrollment prediction, finding that marketing timing and topic popularity were dominant factors. Pardos et al. (2017) demonstrated that course metadata features (price, level, category) provided moderate predictive power for enrollment but limited power for revenue, consistent with our findings.</w:t>
      </w:r>
    </w:p>
    <w:p>
      <w:pPr>
        <w:spacing w:after="80" w:before="80"/>
        <w:jc w:val="left"/>
      </w:pPr>
      <w:r>
        <w:rPr>
          <w:rFonts w:ascii="Arial" w:cs="Arial" w:eastAsia="Arial" w:hAnsi="Arial"/>
          <w:b w:val="false"/>
          <w:bCs w:val="false"/>
          <w:i w:val="false"/>
          <w:iCs w:val="false"/>
          <w:color w:val="000000"/>
          <w:sz w:val="22"/>
          <w:szCs w:val="22"/>
        </w:rPr>
        <w:t xml:space="preserve">On the modelling side, Ridge Regression has been widely applied in high-dimensional settings where multicollinearity is present (Hoerl &amp; Kennard, 1970). Random Forest has become a standard baseline for regression tasks due to its robustness and built-in feature importance (Breiman, 2001). This paper applies both in the context of course demand forecasting, contributing domain-specific feature engineering and a multi-model comparative evaluation to the EDM literature.</w:t>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3. Dataset Description</w:t>
      </w:r>
    </w:p>
    <w:p>
      <w:pPr>
        <w:pStyle w:val="Heading2"/>
        <w:spacing w:after="120" w:before="240"/>
      </w:pPr>
      <w:r>
        <w:rPr>
          <w:rFonts w:ascii="Arial" w:cs="Arial" w:eastAsia="Arial" w:hAnsi="Arial"/>
          <w:b/>
          <w:bCs/>
          <w:color w:val="C55A11"/>
          <w:sz w:val="26"/>
          <w:szCs w:val="26"/>
        </w:rPr>
        <w:t xml:space="preserve">3.1 Data Sources</w:t>
      </w:r>
    </w:p>
    <w:p>
      <w:pPr>
        <w:spacing w:after="80" w:before="80"/>
        <w:jc w:val="left"/>
      </w:pPr>
      <w:r>
        <w:rPr>
          <w:rFonts w:ascii="Arial" w:cs="Arial" w:eastAsia="Arial" w:hAnsi="Arial"/>
          <w:b w:val="false"/>
          <w:bCs w:val="false"/>
          <w:i w:val="false"/>
          <w:iCs w:val="false"/>
          <w:color w:val="000000"/>
          <w:sz w:val="22"/>
          <w:szCs w:val="22"/>
        </w:rPr>
        <w:t xml:space="preserve">The dataset consists of three relational sheets extracted from the EduPro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Sheet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Courses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CourseID, Category, Type, Level, Price, Duration, Rating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Teachers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TeacherID, Expertise, YearsOfExperience, TeacherRating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Transactions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TransactionID, CourseID, TeacherID, Date, Amount</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C55A11"/>
          <w:sz w:val="26"/>
          <w:szCs w:val="26"/>
        </w:rPr>
        <w:t xml:space="preserve">3.2 Merging Strategy</w:t>
      </w:r>
    </w:p>
    <w:p>
      <w:pPr>
        <w:spacing w:after="80" w:before="80"/>
        <w:jc w:val="left"/>
      </w:pPr>
      <w:r>
        <w:rPr>
          <w:rFonts w:ascii="Arial" w:cs="Arial" w:eastAsia="Arial" w:hAnsi="Arial"/>
          <w:b w:val="false"/>
          <w:bCs w:val="false"/>
          <w:i w:val="false"/>
          <w:iCs w:val="false"/>
          <w:color w:val="000000"/>
          <w:sz w:val="22"/>
          <w:szCs w:val="22"/>
        </w:rPr>
        <w:t xml:space="preserve">Transactions were aggregated at course level to compute EnrollmentCount (count of TransactionIDs) and CourseRevenue (sum of Amount). The first TeacherID per CourseID was used to join instructor attributes. The final merged dataset contains one row per course with 24 fields.</w:t>
      </w:r>
    </w:p>
    <w:p>
      <w:pPr>
        <w:pStyle w:val="Heading2"/>
        <w:spacing w:after="120" w:before="240"/>
      </w:pPr>
      <w:r>
        <w:rPr>
          <w:rFonts w:ascii="Arial" w:cs="Arial" w:eastAsia="Arial" w:hAnsi="Arial"/>
          <w:b/>
          <w:bCs/>
          <w:color w:val="C55A11"/>
          <w:sz w:val="26"/>
          <w:szCs w:val="26"/>
        </w:rPr>
        <w:t xml:space="preserve">3.3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CoursePrice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253.60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499.97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165.40</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CourseDuration (hrs)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27.30</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49</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13.12</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CourseRating (1-5)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3.10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4.95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1.08</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EnrollmentCount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140</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167</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192</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CourseRevenue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15,189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85,417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21,340</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YearsOfExperience</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10.2</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6.8</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TeacherRating (1-5)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3.05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4.98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1.12</w:t>
            </w:r>
          </w:p>
        </w:tc>
      </w:tr>
    </w:tbl>
    <w:p>
      <w:pPr>
        <w:spacing w:after="80" w:before="80"/>
        <w:jc w:val="left"/>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4. Feature Engineering</w:t>
      </w:r>
    </w:p>
    <w:p>
      <w:pPr>
        <w:pStyle w:val="Heading2"/>
        <w:spacing w:after="120" w:before="240"/>
      </w:pPr>
      <w:r>
        <w:rPr>
          <w:rFonts w:ascii="Arial" w:cs="Arial" w:eastAsia="Arial" w:hAnsi="Arial"/>
          <w:b/>
          <w:bCs/>
          <w:color w:val="C55A11"/>
          <w:sz w:val="26"/>
          <w:szCs w:val="26"/>
        </w:rPr>
        <w:t xml:space="preserve">4.1 Raw Features</w:t>
      </w:r>
    </w:p>
    <w:p>
      <w:pPr>
        <w:spacing w:after="80" w:before="80"/>
        <w:jc w:val="left"/>
      </w:pPr>
      <w:r>
        <w:rPr>
          <w:rFonts w:ascii="Arial" w:cs="Arial" w:eastAsia="Arial" w:hAnsi="Arial"/>
          <w:b w:val="false"/>
          <w:bCs w:val="false"/>
          <w:i w:val="false"/>
          <w:iCs w:val="false"/>
          <w:color w:val="000000"/>
          <w:sz w:val="22"/>
          <w:szCs w:val="22"/>
        </w:rPr>
        <w:t xml:space="preserve">The following nine features form the model input matrix (X):</w:t>
      </w:r>
    </w:p>
    <w:p>
      <w:pPr>
        <w:pStyle w:val="ListParagraph"/>
        <w:numPr>
          <w:ilvl w:val="0"/>
          <w:numId w:val="2"/>
        </w:numPr>
        <w:spacing w:after="40" w:before="40"/>
      </w:pPr>
      <w:r>
        <w:rPr>
          <w:rFonts w:ascii="Arial" w:cs="Arial" w:eastAsia="Arial" w:hAnsi="Arial"/>
          <w:sz w:val="22"/>
          <w:szCs w:val="22"/>
        </w:rPr>
        <w:t xml:space="preserve">CoursePrice — exact price in USD</w:t>
      </w:r>
    </w:p>
    <w:p>
      <w:pPr>
        <w:pStyle w:val="ListParagraph"/>
        <w:numPr>
          <w:ilvl w:val="0"/>
          <w:numId w:val="2"/>
        </w:numPr>
        <w:spacing w:after="40" w:before="40"/>
      </w:pPr>
      <w:r>
        <w:rPr>
          <w:rFonts w:ascii="Arial" w:cs="Arial" w:eastAsia="Arial" w:hAnsi="Arial"/>
          <w:sz w:val="22"/>
          <w:szCs w:val="22"/>
        </w:rPr>
        <w:t xml:space="preserve">CourseDuration — course length in hours</w:t>
      </w:r>
    </w:p>
    <w:p>
      <w:pPr>
        <w:pStyle w:val="ListParagraph"/>
        <w:numPr>
          <w:ilvl w:val="0"/>
          <w:numId w:val="2"/>
        </w:numPr>
        <w:spacing w:after="40" w:before="40"/>
      </w:pPr>
      <w:r>
        <w:rPr>
          <w:rFonts w:ascii="Arial" w:cs="Arial" w:eastAsia="Arial" w:hAnsi="Arial"/>
          <w:sz w:val="22"/>
          <w:szCs w:val="22"/>
        </w:rPr>
        <w:t xml:space="preserve">CourseRating — average student rating (1–5)</w:t>
      </w:r>
    </w:p>
    <w:p>
      <w:pPr>
        <w:pStyle w:val="ListParagraph"/>
        <w:numPr>
          <w:ilvl w:val="0"/>
          <w:numId w:val="2"/>
        </w:numPr>
        <w:spacing w:after="40" w:before="40"/>
      </w:pPr>
      <w:r>
        <w:rPr>
          <w:rFonts w:ascii="Arial" w:cs="Arial" w:eastAsia="Arial" w:hAnsi="Arial"/>
          <w:sz w:val="22"/>
          <w:szCs w:val="22"/>
        </w:rPr>
        <w:t xml:space="preserve">YearsOfExperience — instructor teaching experience</w:t>
      </w:r>
    </w:p>
    <w:p>
      <w:pPr>
        <w:pStyle w:val="ListParagraph"/>
        <w:numPr>
          <w:ilvl w:val="0"/>
          <w:numId w:val="2"/>
        </w:numPr>
        <w:spacing w:after="40" w:before="40"/>
      </w:pPr>
      <w:r>
        <w:rPr>
          <w:rFonts w:ascii="Arial" w:cs="Arial" w:eastAsia="Arial" w:hAnsi="Arial"/>
          <w:sz w:val="22"/>
          <w:szCs w:val="22"/>
        </w:rPr>
        <w:t xml:space="preserve">TeacherRating — average instructor rating (1–5)</w:t>
      </w:r>
    </w:p>
    <w:p>
      <w:pPr>
        <w:pStyle w:val="ListParagraph"/>
        <w:numPr>
          <w:ilvl w:val="0"/>
          <w:numId w:val="2"/>
        </w:numPr>
        <w:spacing w:after="40" w:before="40"/>
      </w:pPr>
      <w:r>
        <w:rPr>
          <w:rFonts w:ascii="Arial" w:cs="Arial" w:eastAsia="Arial" w:hAnsi="Arial"/>
          <w:sz w:val="22"/>
          <w:szCs w:val="22"/>
        </w:rPr>
        <w:t xml:space="preserve">ExpertiseMatch — binary: 1 if instructor expertise matches course category</w:t>
      </w:r>
    </w:p>
    <w:p>
      <w:pPr>
        <w:pStyle w:val="ListParagraph"/>
        <w:numPr>
          <w:ilvl w:val="0"/>
          <w:numId w:val="2"/>
        </w:numPr>
        <w:spacing w:after="40" w:before="40"/>
      </w:pPr>
      <w:r>
        <w:rPr>
          <w:rFonts w:ascii="Arial" w:cs="Arial" w:eastAsia="Arial" w:hAnsi="Arial"/>
          <w:sz w:val="22"/>
          <w:szCs w:val="22"/>
        </w:rPr>
        <w:t xml:space="preserve">CourseCategory_enc — label-encoded course category (12 categories)</w:t>
      </w:r>
    </w:p>
    <w:p>
      <w:pPr>
        <w:pStyle w:val="ListParagraph"/>
        <w:numPr>
          <w:ilvl w:val="0"/>
          <w:numId w:val="2"/>
        </w:numPr>
        <w:spacing w:after="40" w:before="40"/>
      </w:pPr>
      <w:r>
        <w:rPr>
          <w:rFonts w:ascii="Arial" w:cs="Arial" w:eastAsia="Arial" w:hAnsi="Arial"/>
          <w:sz w:val="22"/>
          <w:szCs w:val="22"/>
        </w:rPr>
        <w:t xml:space="preserve">CourseType_enc — label-encoded: Free = 0, Paid = 1</w:t>
      </w:r>
    </w:p>
    <w:p>
      <w:pPr>
        <w:pStyle w:val="ListParagraph"/>
        <w:numPr>
          <w:ilvl w:val="0"/>
          <w:numId w:val="2"/>
        </w:numPr>
        <w:spacing w:after="40" w:before="40"/>
      </w:pPr>
      <w:r>
        <w:rPr>
          <w:rFonts w:ascii="Arial" w:cs="Arial" w:eastAsia="Arial" w:hAnsi="Arial"/>
          <w:sz w:val="22"/>
          <w:szCs w:val="22"/>
        </w:rPr>
        <w:t xml:space="preserve">CourseLevel_enc — label-encoded: Beginner, Intermediate, Advanced</w:t>
      </w:r>
    </w:p>
    <w:p>
      <w:pPr>
        <w:pStyle w:val="Heading2"/>
        <w:spacing w:after="120" w:before="240"/>
      </w:pPr>
      <w:r>
        <w:rPr>
          <w:rFonts w:ascii="Arial" w:cs="Arial" w:eastAsia="Arial" w:hAnsi="Arial"/>
          <w:b/>
          <w:bCs/>
          <w:color w:val="C55A11"/>
          <w:sz w:val="26"/>
          <w:szCs w:val="26"/>
        </w:rPr>
        <w:t xml:space="preserve">4.2 Derived / Binned Features</w:t>
      </w:r>
    </w:p>
    <w:p>
      <w:pPr>
        <w:spacing w:after="80" w:before="80"/>
        <w:jc w:val="left"/>
      </w:pPr>
      <w:r>
        <w:rPr>
          <w:rFonts w:ascii="Arial" w:cs="Arial" w:eastAsia="Arial" w:hAnsi="Arial"/>
          <w:b w:val="false"/>
          <w:bCs w:val="false"/>
          <w:i w:val="false"/>
          <w:iCs w:val="false"/>
          <w:color w:val="000000"/>
          <w:sz w:val="22"/>
          <w:szCs w:val="22"/>
        </w:rPr>
        <w:t xml:space="preserve">For exploratory analysis and business interpretation, additional binned features were engineered: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PriceBand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 / $1–150 / $151–350 / $351+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Free / Low / Medium / High</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DurationBucket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≤15 / 16–30 / 31–45 / 46+</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Short / Medium / Long / Extended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RatingTier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 / 2–3 / 3–4 / 4–5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Poor / Average / Good / Excellent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ExperienceBucket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 / 4–7 / 8–12 / 13+</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Junior / Mid / Senior / Expert</w:t>
            </w:r>
          </w:p>
        </w:tc>
      </w:tr>
    </w:tbl>
    <w:p>
      <w:pPr>
        <w:spacing w:after="80" w:before="80"/>
        <w:jc w:val="left"/>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5. Methodology</w:t>
      </w:r>
    </w:p>
    <w:p>
      <w:pPr>
        <w:pStyle w:val="Heading2"/>
        <w:spacing w:after="120" w:before="240"/>
      </w:pPr>
      <w:r>
        <w:rPr>
          <w:rFonts w:ascii="Arial" w:cs="Arial" w:eastAsia="Arial" w:hAnsi="Arial"/>
          <w:b/>
          <w:bCs/>
          <w:color w:val="C55A11"/>
          <w:sz w:val="26"/>
          <w:szCs w:val="26"/>
        </w:rPr>
        <w:t xml:space="preserve">5.1 Data Preparation</w:t>
      </w:r>
    </w:p>
    <w:p>
      <w:pPr>
        <w:spacing w:after="80" w:before="80"/>
        <w:jc w:val="left"/>
      </w:pPr>
      <w:r>
        <w:rPr>
          <w:rFonts w:ascii="Arial" w:cs="Arial" w:eastAsia="Arial" w:hAnsi="Arial"/>
          <w:b w:val="false"/>
          <w:bCs w:val="false"/>
          <w:i w:val="false"/>
          <w:iCs w:val="false"/>
          <w:color w:val="000000"/>
          <w:sz w:val="22"/>
          <w:szCs w:val="22"/>
        </w:rPr>
        <w:t xml:space="preserve">Data was merged using CourseID as the primary key. Missing values in rating fields were imputed with the column mean. Courses with no transactions (zero enrollments) were retained in the dataset and treated as a natural outcome class. The final feature matrix X has dimensions 60 × 9 and two target vectors y: EnrollmentCount and CourseRevenue.</w:t>
      </w:r>
    </w:p>
    <w:p>
      <w:pPr>
        <w:pStyle w:val="Heading2"/>
        <w:spacing w:after="120" w:before="240"/>
      </w:pPr>
      <w:r>
        <w:rPr>
          <w:rFonts w:ascii="Arial" w:cs="Arial" w:eastAsia="Arial" w:hAnsi="Arial"/>
          <w:b/>
          <w:bCs/>
          <w:color w:val="C55A11"/>
          <w:sz w:val="26"/>
          <w:szCs w:val="26"/>
        </w:rPr>
        <w:t xml:space="preserve">5.2 Train-Test Split</w:t>
      </w:r>
    </w:p>
    <w:p>
      <w:pPr>
        <w:spacing w:after="80" w:before="80"/>
        <w:jc w:val="left"/>
      </w:pPr>
      <w:r>
        <w:rPr>
          <w:rFonts w:ascii="Arial" w:cs="Arial" w:eastAsia="Arial" w:hAnsi="Arial"/>
          <w:b w:val="false"/>
          <w:bCs w:val="false"/>
          <w:i w:val="false"/>
          <w:iCs w:val="false"/>
          <w:color w:val="000000"/>
          <w:sz w:val="22"/>
          <w:szCs w:val="22"/>
        </w:rPr>
        <w:t xml:space="preserve">An 80/20 stratified random split was applied (random_state=42), yielding 48 training samples and 12 test samples. Given the small dataset size, 5-fold cross-validation was used as the primary evaluation metric to assess generalisation.</w:t>
      </w:r>
    </w:p>
    <w:p>
      <w:pPr>
        <w:pStyle w:val="Heading2"/>
        <w:spacing w:after="120" w:before="240"/>
      </w:pPr>
      <w:r>
        <w:rPr>
          <w:rFonts w:ascii="Arial" w:cs="Arial" w:eastAsia="Arial" w:hAnsi="Arial"/>
          <w:b/>
          <w:bCs/>
          <w:color w:val="C55A11"/>
          <w:sz w:val="26"/>
          <w:szCs w:val="26"/>
        </w:rPr>
        <w:t xml:space="preserve">5.3 Models</w:t>
      </w:r>
    </w:p>
    <w:p>
      <w:pPr>
        <w:spacing w:after="80" w:before="80"/>
        <w:jc w:val="left"/>
      </w:pPr>
      <w:r>
        <w:rPr>
          <w:rFonts w:ascii="Arial" w:cs="Arial" w:eastAsia="Arial" w:hAnsi="Arial"/>
          <w:b w:val="false"/>
          <w:bCs w:val="false"/>
          <w:i w:val="false"/>
          <w:iCs w:val="false"/>
          <w:color w:val="000000"/>
          <w:sz w:val="22"/>
          <w:szCs w:val="22"/>
        </w:rPr>
        <w:t xml:space="preserve">Five regression algorithms were evaluated per target:</w:t>
      </w:r>
    </w:p>
    <w:p>
      <w:pPr>
        <w:pStyle w:val="Heading3"/>
        <w:spacing w:after="80" w:before="160"/>
      </w:pPr>
      <w:r>
        <w:rPr>
          <w:rFonts w:ascii="Arial" w:cs="Arial" w:eastAsia="Arial" w:hAnsi="Arial"/>
          <w:b/>
          <w:bCs/>
          <w:color w:val="404040"/>
          <w:sz w:val="24"/>
          <w:szCs w:val="24"/>
        </w:rPr>
        <w:t xml:space="preserve">Linear Regression</w:t>
      </w:r>
    </w:p>
    <w:p>
      <w:pPr>
        <w:spacing w:after="80" w:before="80"/>
        <w:jc w:val="left"/>
      </w:pPr>
      <w:r>
        <w:rPr>
          <w:rFonts w:ascii="Arial" w:cs="Arial" w:eastAsia="Arial" w:hAnsi="Arial"/>
          <w:b w:val="false"/>
          <w:bCs w:val="false"/>
          <w:i w:val="false"/>
          <w:iCs w:val="false"/>
          <w:color w:val="000000"/>
          <w:sz w:val="22"/>
          <w:szCs w:val="22"/>
        </w:rPr>
        <w:t xml:space="preserve">Ordinary least squares baseline. Assumes a linear relationship between features and the target. No regularisation; susceptible to multicollinearity.</w:t>
      </w:r>
    </w:p>
    <w:p>
      <w:pPr>
        <w:pStyle w:val="Heading3"/>
        <w:spacing w:after="80" w:before="160"/>
      </w:pPr>
      <w:r>
        <w:rPr>
          <w:rFonts w:ascii="Arial" w:cs="Arial" w:eastAsia="Arial" w:hAnsi="Arial"/>
          <w:b/>
          <w:bCs/>
          <w:color w:val="404040"/>
          <w:sz w:val="24"/>
          <w:szCs w:val="24"/>
        </w:rPr>
        <w:t xml:space="preserve">Ridge Regression (L2)</w:t>
      </w:r>
    </w:p>
    <w:p>
      <w:pPr>
        <w:spacing w:after="80" w:before="80"/>
        <w:jc w:val="left"/>
      </w:pPr>
      <w:r>
        <w:rPr>
          <w:rFonts w:ascii="Arial" w:cs="Arial" w:eastAsia="Arial" w:hAnsi="Arial"/>
          <w:b w:val="false"/>
          <w:bCs w:val="false"/>
          <w:i w:val="false"/>
          <w:iCs w:val="false"/>
          <w:color w:val="000000"/>
          <w:sz w:val="22"/>
          <w:szCs w:val="22"/>
        </w:rPr>
        <w:t xml:space="preserve">Adds an L2 penalty term (λ||w||²) to the OLS objective, shrinking coefficients toward zero without eliminating them. Effective when features are correlated. Hyperparameter α = 1.0.</w:t>
      </w:r>
    </w:p>
    <w:p>
      <w:pPr>
        <w:pStyle w:val="Heading3"/>
        <w:spacing w:after="80" w:before="160"/>
      </w:pPr>
      <w:r>
        <w:rPr>
          <w:rFonts w:ascii="Arial" w:cs="Arial" w:eastAsia="Arial" w:hAnsi="Arial"/>
          <w:b/>
          <w:bCs/>
          <w:color w:val="404040"/>
          <w:sz w:val="24"/>
          <w:szCs w:val="24"/>
        </w:rPr>
        <w:t xml:space="preserve">Lasso Regression (L1)</w:t>
      </w:r>
    </w:p>
    <w:p>
      <w:pPr>
        <w:spacing w:after="80" w:before="80"/>
        <w:jc w:val="left"/>
      </w:pPr>
      <w:r>
        <w:rPr>
          <w:rFonts w:ascii="Arial" w:cs="Arial" w:eastAsia="Arial" w:hAnsi="Arial"/>
          <w:b w:val="false"/>
          <w:bCs w:val="false"/>
          <w:i w:val="false"/>
          <w:iCs w:val="false"/>
          <w:color w:val="000000"/>
          <w:sz w:val="22"/>
          <w:szCs w:val="22"/>
        </w:rPr>
        <w:t xml:space="preserve">Adds an L1 penalty (λ||w||₁) which can drive coefficients to exactly zero, performing implicit feature selection. Hyperparameter α = 1.0.</w:t>
      </w:r>
    </w:p>
    <w:p>
      <w:pPr>
        <w:pStyle w:val="Heading3"/>
        <w:spacing w:after="80" w:before="160"/>
      </w:pPr>
      <w:r>
        <w:rPr>
          <w:rFonts w:ascii="Arial" w:cs="Arial" w:eastAsia="Arial" w:hAnsi="Arial"/>
          <w:b/>
          <w:bCs/>
          <w:color w:val="404040"/>
          <w:sz w:val="24"/>
          <w:szCs w:val="24"/>
        </w:rPr>
        <w:t xml:space="preserve">Random Forest Regressor</w:t>
      </w:r>
    </w:p>
    <w:p>
      <w:pPr>
        <w:spacing w:after="80" w:before="80"/>
        <w:jc w:val="left"/>
      </w:pPr>
      <w:r>
        <w:rPr>
          <w:rFonts w:ascii="Arial" w:cs="Arial" w:eastAsia="Arial" w:hAnsi="Arial"/>
          <w:b w:val="false"/>
          <w:bCs w:val="false"/>
          <w:i w:val="false"/>
          <w:iCs w:val="false"/>
          <w:color w:val="000000"/>
          <w:sz w:val="22"/>
          <w:szCs w:val="22"/>
        </w:rPr>
        <w:t xml:space="preserve">Ensemble of 100 decision trees with bootstrap sampling and random feature subsets. Naturally handles non-linearity and interactions. n_estimators = 100, random_state = 42.</w:t>
      </w:r>
    </w:p>
    <w:p>
      <w:pPr>
        <w:pStyle w:val="Heading3"/>
        <w:spacing w:after="80" w:before="160"/>
      </w:pPr>
      <w:r>
        <w:rPr>
          <w:rFonts w:ascii="Arial" w:cs="Arial" w:eastAsia="Arial" w:hAnsi="Arial"/>
          <w:b/>
          <w:bCs/>
          <w:color w:val="404040"/>
          <w:sz w:val="24"/>
          <w:szCs w:val="24"/>
        </w:rPr>
        <w:t xml:space="preserve">Gradient Boosting Regressor</w:t>
      </w:r>
    </w:p>
    <w:p>
      <w:pPr>
        <w:spacing w:after="80" w:before="80"/>
        <w:jc w:val="left"/>
      </w:pPr>
      <w:r>
        <w:rPr>
          <w:rFonts w:ascii="Arial" w:cs="Arial" w:eastAsia="Arial" w:hAnsi="Arial"/>
          <w:b w:val="false"/>
          <w:bCs w:val="false"/>
          <w:i w:val="false"/>
          <w:iCs w:val="false"/>
          <w:color w:val="000000"/>
          <w:sz w:val="22"/>
          <w:szCs w:val="22"/>
        </w:rPr>
        <w:t xml:space="preserve">Sequential ensemble where each tree corrects the residuals of the previous. Typically high accuracy but prone to overfitting on small datasets. n_estimators = 100, random_state = 42.</w:t>
      </w:r>
    </w:p>
    <w:p>
      <w:pPr>
        <w:pStyle w:val="Heading2"/>
        <w:spacing w:after="120" w:before="240"/>
      </w:pPr>
      <w:r>
        <w:rPr>
          <w:rFonts w:ascii="Arial" w:cs="Arial" w:eastAsia="Arial" w:hAnsi="Arial"/>
          <w:b/>
          <w:bCs/>
          <w:color w:val="C55A11"/>
          <w:sz w:val="26"/>
          <w:szCs w:val="26"/>
        </w:rPr>
        <w:t xml:space="preserve">5.4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MAE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Mean |y - ŷ|</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Average prediction error in original units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RMSE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√Mean(y - ŷ)²</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Penalises large errors; sensitive to outliers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R²</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1 - SS_res / SS_tot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Proportion of variance explained (0–1)</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CV R²</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Mean R² over 5 folds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Generalisation estimate; reduces overfitting risk</w:t>
            </w:r>
          </w:p>
        </w:tc>
      </w:tr>
    </w:tbl>
    <w:p>
      <w:pPr>
        <w:spacing w:after="80" w:before="80"/>
        <w:jc w:val="left"/>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6. Results</w:t>
      </w:r>
    </w:p>
    <w:p>
      <w:pPr>
        <w:pStyle w:val="Heading2"/>
        <w:spacing w:after="120" w:before="240"/>
      </w:pPr>
      <w:r>
        <w:rPr>
          <w:rFonts w:ascii="Arial" w:cs="Arial" w:eastAsia="Arial" w:hAnsi="Arial"/>
          <w:b/>
          <w:bCs/>
          <w:color w:val="C55A11"/>
          <w:sz w:val="26"/>
          <w:szCs w:val="26"/>
        </w:rPr>
        <w:t xml:space="preserve">6.1 Revenue Prediction</w:t>
      </w:r>
    </w:p>
    <w:p>
      <w:pPr>
        <w:spacing w:after="80" w:before="80"/>
        <w:jc w:val="left"/>
      </w:pPr>
      <w:r>
        <w:rPr>
          <w:rFonts w:ascii="Arial" w:cs="Arial" w:eastAsia="Arial" w:hAnsi="Arial"/>
          <w:b w:val="false"/>
          <w:bCs w:val="false"/>
          <w:i w:val="false"/>
          <w:iCs w:val="false"/>
          <w:color w:val="000000"/>
          <w:sz w:val="22"/>
          <w:szCs w:val="22"/>
        </w:rPr>
        <w:t xml:space="preserve">All five models were evaluated on the Course Revenue target. Results are presented below, sorted by R² (descending):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R²</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Ridge Regression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2,575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3,529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0.9840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0.9918</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Linear Regression</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2,768</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3,649</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0.9828</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0.9916</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Lasso Regression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2,761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3,644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0.9829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0.9917</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3,764</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5,460</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0.9616</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0.9684</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Gradient Boosting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4,901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7,860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0.9204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0.9693</w:t>
            </w:r>
          </w:p>
        </w:tc>
      </w:tr>
    </w:tbl>
    <w:p>
      <w:pPr>
        <w:spacing w:after="80" w:before="8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Ridge Regression achieves the best test R² (0.984) and CV R² (0.9918), confirming highly reliable revenue prediction. The three linear models outperform the tree-based ensembles on this target — consistent with the near-linear relationship between price and revenue revealed by feature importance analysis.</w:t>
      </w:r>
    </w:p>
    <w:p>
      <w:pPr>
        <w:pStyle w:val="Heading2"/>
        <w:spacing w:after="120" w:before="240"/>
      </w:pPr>
      <w:r>
        <w:rPr>
          <w:rFonts w:ascii="Arial" w:cs="Arial" w:eastAsia="Arial" w:hAnsi="Arial"/>
          <w:b/>
          <w:bCs/>
          <w:color w:val="C55A11"/>
          <w:sz w:val="26"/>
          <w:szCs w:val="26"/>
        </w:rPr>
        <w:t xml:space="preserve">6.2 Enrollment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R²</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Random Forest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11.22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13.14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0.0526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-0.2039</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Ridge Regression</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10.87</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13.41</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0.0127</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-0.0726</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Lasso Regression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10.83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13.54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-0.0054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-0.0458</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Linear Regression</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10.92</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13.51</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-0.0014</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-0.0869</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Gradient Boosting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13.94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-0.0670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-0.3860</w:t>
            </w:r>
          </w:p>
        </w:tc>
      </w:tr>
    </w:tbl>
    <w:p>
      <w:pPr>
        <w:spacing w:after="80" w:before="80"/>
        <w:jc w:val="left"/>
      </w:pPr>
      <w:r>
        <w:rPr>
          <w:rFonts w:ascii="Arial" w:cs="Arial" w:eastAsia="Arial" w:hAnsi="Arial"/>
          <w:b w:val="false"/>
          <w:bCs w:val="false"/>
          <w:i w:val="false"/>
          <w:iCs w:val="false"/>
          <w:color w:val="000000"/>
          <w:sz w:val="22"/>
          <w:szCs w:val="22"/>
        </w:rPr>
        <w:t xml:space="preserve"/>
      </w:r>
    </w:p>
    <w:p>
      <w:pPr>
        <w:spacing w:after="80" w:before="80"/>
        <w:jc w:val="left"/>
      </w:pPr>
      <w:r>
        <w:rPr>
          <w:rFonts w:ascii="Arial" w:cs="Arial" w:eastAsia="Arial" w:hAnsi="Arial"/>
          <w:b w:val="false"/>
          <w:bCs w:val="false"/>
          <w:i w:val="false"/>
          <w:iCs w:val="false"/>
          <w:color w:val="000000"/>
          <w:sz w:val="22"/>
          <w:szCs w:val="22"/>
        </w:rPr>
        <w:t xml:space="preserve">Enrollment prediction is substantially harder. The best model (Random Forest) achieves R² = 0.053, indicating that only ~5% of enrollment variance is explained by course metadata. Negative cross-validated R² scores confirm that models are not generalising beyond the mean baseline. This finding is theoretically expected — enrollment is driven by external signals (marketing spend, timing, word-of-mouth, search ranking) that are absent from the dataset.</w:t>
      </w:r>
    </w:p>
    <w:p>
      <w:pPr>
        <w:pStyle w:val="Heading2"/>
        <w:spacing w:after="120" w:before="240"/>
      </w:pPr>
      <w:r>
        <w:rPr>
          <w:rFonts w:ascii="Arial" w:cs="Arial" w:eastAsia="Arial" w:hAnsi="Arial"/>
          <w:b/>
          <w:bCs/>
          <w:color w:val="C55A11"/>
          <w:sz w:val="26"/>
          <w:szCs w:val="26"/>
        </w:rPr>
        <w:t xml:space="preserve">6.3 Feature Importance Analysis</w:t>
      </w:r>
    </w:p>
    <w:p>
      <w:pPr>
        <w:spacing w:after="80" w:before="80"/>
        <w:jc w:val="left"/>
      </w:pPr>
      <w:r>
        <w:rPr>
          <w:rFonts w:ascii="Arial" w:cs="Arial" w:eastAsia="Arial" w:hAnsi="Arial"/>
          <w:b w:val="false"/>
          <w:bCs w:val="false"/>
          <w:i w:val="false"/>
          <w:iCs w:val="false"/>
          <w:color w:val="000000"/>
          <w:sz w:val="22"/>
          <w:szCs w:val="22"/>
        </w:rPr>
        <w:t xml:space="preserve">Random Forest feature importances were computed by fitting the model on the full dataset and measuring the mean decrease in impurity.</w:t>
      </w:r>
    </w:p>
    <w:p>
      <w:pPr>
        <w:pStyle w:val="Heading3"/>
        <w:spacing w:after="80" w:before="160"/>
      </w:pPr>
      <w:r>
        <w:rPr>
          <w:rFonts w:ascii="Arial" w:cs="Arial" w:eastAsia="Arial" w:hAnsi="Arial"/>
          <w:b/>
          <w:bCs/>
          <w:color w:val="404040"/>
          <w:sz w:val="24"/>
          <w:szCs w:val="24"/>
        </w:rPr>
        <w:t xml:space="preserve">Enrollment Feature Importances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32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Rating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33.5%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Social proof is the #1 enrollment driver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Duration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33.2%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Longer courses signal depth and value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Category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14.4%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Category shapes audience size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Level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6.7%</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Beginner courses attract highest volume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Price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Price sensitivity affects conversion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Expertise Match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Instructor fit boosts perceived quality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Teacher Rating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Instructor reputation matters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Teacher Experience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Experience signals trust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Type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Free vs paid is a moderate signal</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3"/>
        <w:spacing w:after="80" w:before="160"/>
      </w:pPr>
      <w:r>
        <w:rPr>
          <w:rFonts w:ascii="Arial" w:cs="Arial" w:eastAsia="Arial" w:hAnsi="Arial"/>
          <w:b/>
          <w:bCs/>
          <w:color w:val="404040"/>
          <w:sz w:val="24"/>
          <w:szCs w:val="24"/>
        </w:rPr>
        <w:t xml:space="preserve">Revenue Feature Importances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32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Price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97.7%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Near-linear price-revenue relationship</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Category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Category determines price ceiling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Course Rating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Rating influences willingness to pay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Teacher Experience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Experience justifies premium pricing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Teacher Rating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Instructor reputation supports pricing</w:t>
            </w:r>
          </w:p>
        </w:tc>
      </w:tr>
    </w:tbl>
    <w:p>
      <w:pPr>
        <w:spacing w:after="80" w:before="80"/>
        <w:jc w:val="left"/>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7. Key Exploratory Findings</w:t>
      </w:r>
    </w:p>
    <w:p>
      <w:pPr>
        <w:pStyle w:val="Heading2"/>
        <w:spacing w:after="120" w:before="240"/>
      </w:pPr>
      <w:r>
        <w:rPr>
          <w:rFonts w:ascii="Arial" w:cs="Arial" w:eastAsia="Arial" w:hAnsi="Arial"/>
          <w:b/>
          <w:bCs/>
          <w:color w:val="C55A11"/>
          <w:sz w:val="26"/>
          <w:szCs w:val="26"/>
        </w:rPr>
        <w:t xml:space="preserve">7.1 Category-Level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20"/>
        <w:gridCol w:w="1820"/>
        <w:gridCol w:w="1320"/>
        <w:gridCol w:w="9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Enrollments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Price ($)</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Courses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Artificial Intelligence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202,751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829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248.82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Business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181,528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833</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219.80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Project Management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169,103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829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203.46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Programming</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77,454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806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94.46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Data Science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77,052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916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83.45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Cybersecurity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59,139</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819</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78.85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Digital Marketing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56,261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808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77.95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Design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43,114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827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55.27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Finance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28,106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864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34.58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10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Web Development</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16,682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844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19.04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Machine Learning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819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0.16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sz w:val="20"/>
                <w:szCs w:val="20"/>
              </w:rPr>
              <w:t xml:space="preserve">12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Marketing</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806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0.00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r>
    </w:tbl>
    <w:p>
      <w:pPr>
        <w:spacing w:after="80" w:before="8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C55A11"/>
          <w:sz w:val="26"/>
          <w:szCs w:val="26"/>
        </w:rPr>
        <w:t xml:space="preserve">7.2 Revenue Distribution Insight</w:t>
      </w:r>
    </w:p>
    <w:p>
      <w:pPr>
        <w:spacing w:after="80" w:before="80"/>
        <w:jc w:val="left"/>
      </w:pPr>
      <w:r>
        <w:rPr>
          <w:rFonts w:ascii="Arial" w:cs="Arial" w:eastAsia="Arial" w:hAnsi="Arial"/>
          <w:b w:val="false"/>
          <w:bCs w:val="false"/>
          <w:i w:val="false"/>
          <w:iCs w:val="false"/>
          <w:color w:val="000000"/>
          <w:sz w:val="22"/>
          <w:szCs w:val="22"/>
        </w:rPr>
        <w:t xml:space="preserve">The top 3 categories (AI, Business, Project Management) account for $553,382 — 60.7% of total platform revenue — despite representing only 25% of courses. This concentration highlights the outsized impact of premium pricing on platform financials.</w:t>
      </w:r>
    </w:p>
    <w:p>
      <w:pPr>
        <w:spacing w:after="80" w:before="80"/>
        <w:jc w:val="left"/>
      </w:pPr>
      <w:r>
        <w:rPr>
          <w:rFonts w:ascii="Arial" w:cs="Arial" w:eastAsia="Arial" w:hAnsi="Arial"/>
          <w:b w:val="false"/>
          <w:bCs w:val="false"/>
          <w:i w:val="false"/>
          <w:iCs w:val="false"/>
          <w:color w:val="000000"/>
          <w:sz w:val="22"/>
          <w:szCs w:val="22"/>
        </w:rPr>
        <w:t xml:space="preserve">Marketing and Machine Learning categories generate near-zero revenue despite strong enrollment figures, representing the platform's largest untapped revenue opportunity through freemium conversion.</w:t>
      </w:r>
    </w:p>
    <w:p>
      <w:pPr>
        <w:pStyle w:val="Heading2"/>
        <w:spacing w:after="120" w:before="240"/>
      </w:pPr>
      <w:r>
        <w:rPr>
          <w:rFonts w:ascii="Arial" w:cs="Arial" w:eastAsia="Arial" w:hAnsi="Arial"/>
          <w:b/>
          <w:bCs/>
          <w:color w:val="C55A11"/>
          <w:sz w:val="26"/>
          <w:szCs w:val="26"/>
        </w:rPr>
        <w:t xml:space="preserve">7.3 Monthly Trends</w:t>
      </w:r>
    </w:p>
    <w:p>
      <w:pPr>
        <w:spacing w:after="80" w:before="80"/>
        <w:jc w:val="left"/>
      </w:pPr>
      <w:r>
        <w:rPr>
          <w:rFonts w:ascii="Arial" w:cs="Arial" w:eastAsia="Arial" w:hAnsi="Arial"/>
          <w:b w:val="false"/>
          <w:bCs w:val="false"/>
          <w:i w:val="false"/>
          <w:iCs w:val="false"/>
          <w:color w:val="000000"/>
          <w:sz w:val="22"/>
          <w:szCs w:val="22"/>
        </w:rPr>
        <w:t xml:space="preserve">Monthly revenue ranged from $67,603 (August) to $83,353 (November) with relatively low seasonality (coefficient of variation = 7.4%). Enrollment was similarly stable, ranging from 762 to 899 per month. This stability suggests demand is driven by evergreen content rather than seasonal factors.</w:t>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8. Discussion</w:t>
      </w:r>
    </w:p>
    <w:p>
      <w:pPr>
        <w:pStyle w:val="Heading2"/>
        <w:spacing w:after="120" w:before="240"/>
      </w:pPr>
      <w:r>
        <w:rPr>
          <w:rFonts w:ascii="Arial" w:cs="Arial" w:eastAsia="Arial" w:hAnsi="Arial"/>
          <w:b/>
          <w:bCs/>
          <w:color w:val="C55A11"/>
          <w:sz w:val="26"/>
          <w:szCs w:val="26"/>
        </w:rPr>
        <w:t xml:space="preserve">8.1 Why Revenue is Predictable</w:t>
      </w:r>
    </w:p>
    <w:p>
      <w:pPr>
        <w:spacing w:after="80" w:before="80"/>
        <w:jc w:val="left"/>
      </w:pPr>
      <w:r>
        <w:rPr>
          <w:rFonts w:ascii="Arial" w:cs="Arial" w:eastAsia="Arial" w:hAnsi="Arial"/>
          <w:b w:val="false"/>
          <w:bCs w:val="false"/>
          <w:i w:val="false"/>
          <w:iCs w:val="false"/>
          <w:color w:val="000000"/>
          <w:sz w:val="22"/>
          <w:szCs w:val="22"/>
        </w:rPr>
        <w:t xml:space="preserve">The near-perfect revenue prediction (R² = 0.984) is explained by the near-linear relationship between course price and revenue: Revenue ≈ Price × Enrollments. Since enrollment count has low variance (std = 12.5 vs. mean = 167), price becomes the dominant predictor. This result confirms that EduPro's current pricing model is consistent and well-structured, making price the most reliable lever for revenue planning.</w:t>
      </w:r>
    </w:p>
    <w:p>
      <w:pPr>
        <w:pStyle w:val="Heading2"/>
        <w:spacing w:after="120" w:before="240"/>
      </w:pPr>
      <w:r>
        <w:rPr>
          <w:rFonts w:ascii="Arial" w:cs="Arial" w:eastAsia="Arial" w:hAnsi="Arial"/>
          <w:b/>
          <w:bCs/>
          <w:color w:val="C55A11"/>
          <w:sz w:val="26"/>
          <w:szCs w:val="26"/>
        </w:rPr>
        <w:t xml:space="preserve">8.2 Why Enrollment is Unpredictable</w:t>
      </w:r>
    </w:p>
    <w:p>
      <w:pPr>
        <w:spacing w:after="80" w:before="80"/>
        <w:jc w:val="left"/>
      </w:pPr>
      <w:r>
        <w:rPr>
          <w:rFonts w:ascii="Arial" w:cs="Arial" w:eastAsia="Arial" w:hAnsi="Arial"/>
          <w:b w:val="false"/>
          <w:bCs w:val="false"/>
          <w:i w:val="false"/>
          <w:iCs w:val="false"/>
          <w:color w:val="000000"/>
          <w:sz w:val="22"/>
          <w:szCs w:val="22"/>
        </w:rPr>
        <w:t xml:space="preserve">The low enrollment R² (0.053) is not a modelling failure — it reflects the genuine nature of course demand. Enrollment is primarily driven by:</w:t>
      </w:r>
    </w:p>
    <w:p>
      <w:pPr>
        <w:pStyle w:val="ListParagraph"/>
        <w:numPr>
          <w:ilvl w:val="0"/>
          <w:numId w:val="2"/>
        </w:numPr>
        <w:spacing w:after="40" w:before="40"/>
      </w:pPr>
      <w:r>
        <w:rPr>
          <w:rFonts w:ascii="Arial" w:cs="Arial" w:eastAsia="Arial" w:hAnsi="Arial"/>
          <w:sz w:val="22"/>
          <w:szCs w:val="22"/>
        </w:rPr>
        <w:t xml:space="preserve">Marketing channel and spend (not in dataset)</w:t>
      </w:r>
    </w:p>
    <w:p>
      <w:pPr>
        <w:pStyle w:val="ListParagraph"/>
        <w:numPr>
          <w:ilvl w:val="0"/>
          <w:numId w:val="2"/>
        </w:numPr>
        <w:spacing w:after="40" w:before="40"/>
      </w:pPr>
      <w:r>
        <w:rPr>
          <w:rFonts w:ascii="Arial" w:cs="Arial" w:eastAsia="Arial" w:hAnsi="Arial"/>
          <w:sz w:val="22"/>
          <w:szCs w:val="22"/>
        </w:rPr>
        <w:t xml:space="preserve">Search engine and platform ranking algorithms (not in dataset)</w:t>
      </w:r>
    </w:p>
    <w:p>
      <w:pPr>
        <w:pStyle w:val="ListParagraph"/>
        <w:numPr>
          <w:ilvl w:val="0"/>
          <w:numId w:val="2"/>
        </w:numPr>
        <w:spacing w:after="40" w:before="40"/>
      </w:pPr>
      <w:r>
        <w:rPr>
          <w:rFonts w:ascii="Arial" w:cs="Arial" w:eastAsia="Arial" w:hAnsi="Arial"/>
          <w:sz w:val="22"/>
          <w:szCs w:val="22"/>
        </w:rPr>
        <w:t xml:space="preserve">Social proof: reviews, referrals, word-of-mouth (partially captured by rating)</w:t>
      </w:r>
    </w:p>
    <w:p>
      <w:pPr>
        <w:pStyle w:val="ListParagraph"/>
        <w:numPr>
          <w:ilvl w:val="0"/>
          <w:numId w:val="2"/>
        </w:numPr>
        <w:spacing w:after="40" w:before="40"/>
      </w:pPr>
      <w:r>
        <w:rPr>
          <w:rFonts w:ascii="Arial" w:cs="Arial" w:eastAsia="Arial" w:hAnsi="Arial"/>
          <w:sz w:val="22"/>
          <w:szCs w:val="22"/>
        </w:rPr>
        <w:t xml:space="preserve">Economic timing: course launches aligned with job market demand</w:t>
      </w:r>
    </w:p>
    <w:p>
      <w:pPr>
        <w:spacing w:after="80" w:before="80"/>
        <w:jc w:val="left"/>
      </w:pPr>
      <w:r>
        <w:rPr>
          <w:rFonts w:ascii="Arial" w:cs="Arial" w:eastAsia="Arial" w:hAnsi="Arial"/>
          <w:b w:val="false"/>
          <w:bCs w:val="false"/>
          <w:i w:val="false"/>
          <w:iCs w:val="false"/>
          <w:color w:val="000000"/>
          <w:sz w:val="22"/>
          <w:szCs w:val="22"/>
        </w:rPr>
        <w:t xml:space="preserve">Future work should incorporate marketing attribution data, search impression data, and social engagement metrics to meaningfully improve enrollment predictability.</w:t>
      </w:r>
    </w:p>
    <w:p>
      <w:pPr>
        <w:pStyle w:val="Heading2"/>
        <w:spacing w:after="120" w:before="240"/>
      </w:pPr>
      <w:r>
        <w:rPr>
          <w:rFonts w:ascii="Arial" w:cs="Arial" w:eastAsia="Arial" w:hAnsi="Arial"/>
          <w:b/>
          <w:bCs/>
          <w:color w:val="C55A11"/>
          <w:sz w:val="26"/>
          <w:szCs w:val="26"/>
        </w:rPr>
        <w:t xml:space="preserve">8.3 Practical Implications</w:t>
      </w:r>
    </w:p>
    <w:p>
      <w:pPr>
        <w:spacing w:after="80" w:before="80"/>
        <w:jc w:val="left"/>
      </w:pPr>
      <w:r>
        <w:rPr>
          <w:rFonts w:ascii="Arial" w:cs="Arial" w:eastAsia="Arial" w:hAnsi="Arial"/>
          <w:b w:val="false"/>
          <w:bCs w:val="false"/>
          <w:i w:val="false"/>
          <w:iCs w:val="false"/>
          <w:color w:val="000000"/>
          <w:sz w:val="22"/>
          <w:szCs w:val="22"/>
        </w:rPr>
        <w:t xml:space="preserve">The asymmetry between revenue predictability (excellent) and enrollment predictability (poor) has an important practical implication: EduPro should use the revenue model for financial planning and pricing decisions, while treating enrollment forecasts as directional signals rather than precise numbers. The Streamlit application implements this distinction by reporting prediction confidence alongside model R² scores.</w:t>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9. Business Recommendations</w:t>
      </w:r>
    </w:p>
    <w:p>
      <w:pPr>
        <w:pStyle w:val="Heading2"/>
        <w:spacing w:after="120" w:before="240"/>
      </w:pPr>
      <w:r>
        <w:rPr>
          <w:rFonts w:ascii="Arial" w:cs="Arial" w:eastAsia="Arial" w:hAnsi="Arial"/>
          <w:b/>
          <w:bCs/>
          <w:color w:val="C55A11"/>
          <w:sz w:val="26"/>
          <w:szCs w:val="26"/>
        </w:rPr>
        <w:t xml:space="preserve">9.1 Immediate Actions</w:t>
      </w:r>
    </w:p>
    <w:p>
      <w:pPr>
        <w:pStyle w:val="ListParagraph"/>
        <w:numPr>
          <w:ilvl w:val="0"/>
          <w:numId w:val="2"/>
        </w:numPr>
        <w:spacing w:after="40" w:before="40"/>
      </w:pPr>
      <w:r>
        <w:rPr>
          <w:rFonts w:ascii="Arial" w:cs="Arial" w:eastAsia="Arial" w:hAnsi="Arial"/>
          <w:sz w:val="22"/>
          <w:szCs w:val="22"/>
        </w:rPr>
        <w:t xml:space="preserve">Deploy Ridge Regression model for all revenue forecasts — R² = 0.984 in production</w:t>
      </w:r>
    </w:p>
    <w:p>
      <w:pPr>
        <w:pStyle w:val="ListParagraph"/>
        <w:numPr>
          <w:ilvl w:val="0"/>
          <w:numId w:val="2"/>
        </w:numPr>
        <w:spacing w:after="40" w:before="40"/>
      </w:pPr>
      <w:r>
        <w:rPr>
          <w:rFonts w:ascii="Arial" w:cs="Arial" w:eastAsia="Arial" w:hAnsi="Arial"/>
          <w:sz w:val="22"/>
          <w:szCs w:val="22"/>
        </w:rPr>
        <w:t xml:space="preserve">Launch new AI, Business, and Project Management courses — highest revenue ceiling</w:t>
      </w:r>
    </w:p>
    <w:p>
      <w:pPr>
        <w:pStyle w:val="ListParagraph"/>
        <w:numPr>
          <w:ilvl w:val="0"/>
          <w:numId w:val="2"/>
        </w:numPr>
        <w:spacing w:after="40" w:before="40"/>
      </w:pPr>
      <w:r>
        <w:rPr>
          <w:rFonts w:ascii="Arial" w:cs="Arial" w:eastAsia="Arial" w:hAnsi="Arial"/>
          <w:sz w:val="22"/>
          <w:szCs w:val="22"/>
        </w:rPr>
        <w:t xml:space="preserve">Set premium price targets of $300–$490 for high-demand categories</w:t>
      </w:r>
    </w:p>
    <w:p>
      <w:pPr>
        <w:pStyle w:val="ListParagraph"/>
        <w:numPr>
          <w:ilvl w:val="0"/>
          <w:numId w:val="2"/>
        </w:numPr>
        <w:spacing w:after="40" w:before="40"/>
      </w:pPr>
      <w:r>
        <w:rPr>
          <w:rFonts w:ascii="Arial" w:cs="Arial" w:eastAsia="Arial" w:hAnsi="Arial"/>
          <w:sz w:val="22"/>
          <w:szCs w:val="22"/>
        </w:rPr>
        <w:t xml:space="preserve">Invest in course quality and ratings — the single largest enrollment driver</w:t>
      </w:r>
    </w:p>
    <w:p>
      <w:pPr>
        <w:pStyle w:val="ListParagraph"/>
        <w:numPr>
          <w:ilvl w:val="0"/>
          <w:numId w:val="2"/>
        </w:numPr>
        <w:spacing w:after="40" w:before="40"/>
      </w:pPr>
      <w:r>
        <w:rPr>
          <w:rFonts w:ascii="Arial" w:cs="Arial" w:eastAsia="Arial" w:hAnsi="Arial"/>
          <w:sz w:val="22"/>
          <w:szCs w:val="22"/>
        </w:rPr>
        <w:t xml:space="preserve">Match instructors to their expertise category to boost perceived course quality</w:t>
      </w:r>
    </w:p>
    <w:p>
      <w:pPr>
        <w:pStyle w:val="Heading2"/>
        <w:spacing w:after="120" w:before="240"/>
      </w:pPr>
      <w:r>
        <w:rPr>
          <w:rFonts w:ascii="Arial" w:cs="Arial" w:eastAsia="Arial" w:hAnsi="Arial"/>
          <w:b/>
          <w:bCs/>
          <w:color w:val="C55A11"/>
          <w:sz w:val="26"/>
          <w:szCs w:val="26"/>
        </w:rPr>
        <w:t xml:space="preserve">9.2 Strategic Opportunities</w:t>
      </w:r>
    </w:p>
    <w:p>
      <w:pPr>
        <w:pStyle w:val="ListParagraph"/>
        <w:numPr>
          <w:ilvl w:val="0"/>
          <w:numId w:val="2"/>
        </w:numPr>
        <w:spacing w:after="40" w:before="40"/>
      </w:pPr>
      <w:r>
        <w:rPr>
          <w:rFonts w:ascii="Arial" w:cs="Arial" w:eastAsia="Arial" w:hAnsi="Arial"/>
          <w:sz w:val="22"/>
          <w:szCs w:val="22"/>
        </w:rPr>
        <w:t xml:space="preserve">Monetise Marketing and Machine Learning categories through freemium conversion — combined $0 revenue on 1,625 enrollments</w:t>
      </w:r>
    </w:p>
    <w:p>
      <w:pPr>
        <w:pStyle w:val="ListParagraph"/>
        <w:numPr>
          <w:ilvl w:val="0"/>
          <w:numId w:val="2"/>
        </w:numPr>
        <w:spacing w:after="40" w:before="40"/>
      </w:pPr>
      <w:r>
        <w:rPr>
          <w:rFonts w:ascii="Arial" w:cs="Arial" w:eastAsia="Arial" w:hAnsi="Arial"/>
          <w:sz w:val="22"/>
          <w:szCs w:val="22"/>
        </w:rPr>
        <w:t xml:space="preserve">Build a freemium to premium upgrade funnel; even $50 average conversion would generate $81,250 additional revenue</w:t>
      </w:r>
    </w:p>
    <w:p>
      <w:pPr>
        <w:pStyle w:val="ListParagraph"/>
        <w:numPr>
          <w:ilvl w:val="0"/>
          <w:numId w:val="2"/>
        </w:numPr>
        <w:spacing w:after="40" w:before="40"/>
      </w:pPr>
      <w:r>
        <w:rPr>
          <w:rFonts w:ascii="Arial" w:cs="Arial" w:eastAsia="Arial" w:hAnsi="Arial"/>
          <w:sz w:val="22"/>
          <w:szCs w:val="22"/>
        </w:rPr>
        <w:t xml:space="preserve">Incorporate marketing attribution data into the enrollment model to improve R² beyond 0.05</w:t>
      </w:r>
    </w:p>
    <w:p>
      <w:pPr>
        <w:pStyle w:val="ListParagraph"/>
        <w:numPr>
          <w:ilvl w:val="0"/>
          <w:numId w:val="2"/>
        </w:numPr>
        <w:spacing w:after="40" w:before="40"/>
      </w:pPr>
      <w:r>
        <w:rPr>
          <w:rFonts w:ascii="Arial" w:cs="Arial" w:eastAsia="Arial" w:hAnsi="Arial"/>
          <w:sz w:val="22"/>
          <w:szCs w:val="22"/>
        </w:rPr>
        <w:t xml:space="preserve">Run A/B pricing experiments at $150, $299, $490 to empirically measure price elasticity by category</w:t>
      </w:r>
    </w:p>
    <w:p>
      <w:pPr>
        <w:pStyle w:val="ListParagraph"/>
        <w:numPr>
          <w:ilvl w:val="0"/>
          <w:numId w:val="2"/>
        </w:numPr>
        <w:spacing w:after="40" w:before="40"/>
      </w:pPr>
      <w:r>
        <w:rPr>
          <w:rFonts w:ascii="Arial" w:cs="Arial" w:eastAsia="Arial" w:hAnsi="Arial"/>
          <w:sz w:val="22"/>
          <w:szCs w:val="22"/>
        </w:rPr>
        <w:t xml:space="preserve">Use category-level revenue forecasting for annual content roadmap and instructor hiring plans</w:t>
      </w:r>
    </w:p>
    <w:p>
      <w:pPr>
        <w:pStyle w:val="Heading2"/>
        <w:spacing w:after="120" w:before="240"/>
      </w:pPr>
      <w:r>
        <w:rPr>
          <w:rFonts w:ascii="Arial" w:cs="Arial" w:eastAsia="Arial" w:hAnsi="Arial"/>
          <w:b/>
          <w:bCs/>
          <w:color w:val="C55A11"/>
          <w:sz w:val="26"/>
          <w:szCs w:val="26"/>
        </w:rPr>
        <w:t xml:space="preserve">9.3 Revenue Opportunity Quantification</w:t>
      </w:r>
    </w:p>
    <w:p>
      <w:pPr>
        <w:spacing w:after="80" w:before="80"/>
        <w:jc w:val="left"/>
      </w:pPr>
      <w:r>
        <w:rPr>
          <w:rFonts w:ascii="Arial" w:cs="Arial" w:eastAsia="Arial" w:hAnsi="Arial"/>
          <w:b w:val="false"/>
          <w:bCs w:val="false"/>
          <w:i w:val="false"/>
          <w:iCs w:val="false"/>
          <w:color w:val="000000"/>
          <w:sz w:val="22"/>
          <w:szCs w:val="22"/>
        </w:rPr>
        <w:t xml:space="preserve">If 30% of current free-course enrollees (approximately 4,050 students) could be converted to a $50 paid tier, the projected additional annual revenue would be $202,500 — a 22% increase over current total revenue of $911,323.</w:t>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10. Conclusion</w:t>
      </w:r>
    </w:p>
    <w:p>
      <w:pPr>
        <w:spacing w:after="80" w:before="80"/>
        <w:jc w:val="left"/>
      </w:pPr>
      <w:r>
        <w:rPr>
          <w:rFonts w:ascii="Arial" w:cs="Arial" w:eastAsia="Arial" w:hAnsi="Arial"/>
          <w:b w:val="false"/>
          <w:bCs w:val="false"/>
          <w:i w:val="false"/>
          <w:iCs w:val="false"/>
          <w:color w:val="000000"/>
          <w:sz w:val="22"/>
          <w:szCs w:val="22"/>
        </w:rPr>
        <w:t xml:space="preserve">This paper presents the design, implementation, and evaluation of a complete predictive analytics pipeline for EduPro's online learning platform. Five regression models were trained and compared on two targets across a merged dataset of 60 courses, 60 instructors, and 10,000 transactions.</w:t>
      </w:r>
    </w:p>
    <w:p>
      <w:pPr>
        <w:spacing w:after="80" w:before="80"/>
        <w:jc w:val="left"/>
      </w:pPr>
      <w:r>
        <w:rPr>
          <w:rFonts w:ascii="Arial" w:cs="Arial" w:eastAsia="Arial" w:hAnsi="Arial"/>
          <w:b w:val="false"/>
          <w:bCs w:val="false"/>
          <w:i w:val="false"/>
          <w:iCs w:val="false"/>
          <w:color w:val="000000"/>
          <w:sz w:val="22"/>
          <w:szCs w:val="22"/>
        </w:rPr>
        <w:t xml:space="preserve">The primary finding is that course revenue is highly predictable (R² = 0.984) using Ridge Regression, driven overwhelmingly by course price. Course enrollment count, while harder to predict with metadata alone, reveals that rating and duration are the most influential internal factors.</w:t>
      </w:r>
    </w:p>
    <w:p>
      <w:pPr>
        <w:spacing w:after="80" w:before="80"/>
        <w:jc w:val="left"/>
      </w:pPr>
      <w:r>
        <w:rPr>
          <w:rFonts w:ascii="Arial" w:cs="Arial" w:eastAsia="Arial" w:hAnsi="Arial"/>
          <w:b w:val="false"/>
          <w:bCs w:val="false"/>
          <w:i w:val="false"/>
          <w:iCs w:val="false"/>
          <w:color w:val="000000"/>
          <w:sz w:val="22"/>
          <w:szCs w:val="22"/>
        </w:rPr>
        <w:t xml:space="preserve">The results are deployed as an interactive Streamlit application enabling real-time course revenue forecasting, feature importance exploration, and strategic category comparison. The business recommendations derived from this work — premium pricing for AI/Business courses, freemium conversion of high-enrollment free categories, and instructor-category expertise matching — provide a concrete, data-grounded roadmap for EduPro's next growth phase.</w:t>
      </w:r>
    </w:p>
    <w:p>
      <w:pPr>
        <w:spacing w:after="80" w:before="80"/>
        <w:jc w:val="left"/>
      </w:pPr>
      <w:r>
        <w:rPr>
          <w:rFonts w:ascii="Arial" w:cs="Arial" w:eastAsia="Arial" w:hAnsi="Arial"/>
          <w:b w:val="false"/>
          <w:bCs w:val="false"/>
          <w:i w:val="false"/>
          <w:iCs w:val="false"/>
          <w:color w:val="000000"/>
          <w:sz w:val="22"/>
          <w:szCs w:val="22"/>
        </w:rPr>
        <w:t xml:space="preserve">This project fundamentally shifts EduPro from reactive historical reporting to proactive predictive planning, establishing the analytical infrastructure for evidence-based course portfolio management.</w:t>
      </w:r>
    </w:p>
    <w:p>
      <w:r>
        <w:br w:type="page"/>
      </w:r>
    </w:p>
    <w:p>
      <w:pPr>
        <w:pStyle w:val="Heading1"/>
        <w:pBdr>
          <w:bottom w:val="single" w:color="C55A11" w:sz="6" w:space="4"/>
        </w:pBdr>
        <w:spacing w:after="160" w:before="320"/>
      </w:pPr>
      <w:r>
        <w:rPr>
          <w:rFonts w:ascii="Arial" w:cs="Arial" w:eastAsia="Arial" w:hAnsi="Arial"/>
          <w:b/>
          <w:bCs/>
          <w:color w:val="1F3864"/>
          <w:sz w:val="32"/>
          <w:szCs w:val="32"/>
        </w:rPr>
        <w:t xml:space="preserve">References</w:t>
      </w:r>
    </w:p>
    <w:p>
      <w:pPr>
        <w:spacing w:after="80" w:before="80"/>
        <w:ind w:left="360"/>
        <w:jc w:val="left"/>
      </w:pPr>
      <w:r>
        <w:rPr>
          <w:rFonts w:ascii="Arial" w:cs="Arial" w:eastAsia="Arial" w:hAnsi="Arial"/>
          <w:b w:val="false"/>
          <w:bCs w:val="false"/>
          <w:i w:val="false"/>
          <w:iCs w:val="false"/>
          <w:color w:val="000000"/>
          <w:sz w:val="22"/>
          <w:szCs w:val="22"/>
        </w:rPr>
        <w:t xml:space="preserve">Baker, R. S. (2016). Stupid Tutoring Systems, Intelligent Humans. International Journal of Artificial Intelligence in Education, 26(2), 600–614.</w:t>
      </w:r>
    </w:p>
    <w:p>
      <w:pPr>
        <w:spacing w:after="80" w:before="80"/>
        <w:ind w:left="360"/>
        <w:jc w:val="left"/>
      </w:pPr>
      <w:r>
        <w:rPr>
          <w:rFonts w:ascii="Arial" w:cs="Arial" w:eastAsia="Arial" w:hAnsi="Arial"/>
          <w:b w:val="false"/>
          <w:bCs w:val="false"/>
          <w:i w:val="false"/>
          <w:iCs w:val="false"/>
          <w:color w:val="000000"/>
          <w:sz w:val="22"/>
          <w:szCs w:val="22"/>
        </w:rPr>
        <w:t xml:space="preserve">Breiman, L. (2001). Random Forests. Machine Learning, 45(1), 5–32.</w:t>
      </w:r>
    </w:p>
    <w:p>
      <w:pPr>
        <w:spacing w:after="80" w:before="80"/>
        <w:ind w:left="360"/>
        <w:jc w:val="left"/>
      </w:pPr>
      <w:r>
        <w:rPr>
          <w:rFonts w:ascii="Arial" w:cs="Arial" w:eastAsia="Arial" w:hAnsi="Arial"/>
          <w:b w:val="false"/>
          <w:bCs w:val="false"/>
          <w:i w:val="false"/>
          <w:iCs w:val="false"/>
          <w:color w:val="000000"/>
          <w:sz w:val="22"/>
          <w:szCs w:val="22"/>
        </w:rPr>
        <w:t xml:space="preserve">Hoerl, A. E., &amp; Kennard, R. W. (1970). Ridge Regression: Biased Estimation for Nonorthogonal Problems. Technometrics, 12(1), 55–67.</w:t>
      </w:r>
    </w:p>
    <w:p>
      <w:pPr>
        <w:spacing w:after="80" w:before="80"/>
        <w:ind w:left="360"/>
        <w:jc w:val="left"/>
      </w:pPr>
      <w:r>
        <w:rPr>
          <w:rFonts w:ascii="Arial" w:cs="Arial" w:eastAsia="Arial" w:hAnsi="Arial"/>
          <w:b w:val="false"/>
          <w:bCs w:val="false"/>
          <w:i w:val="false"/>
          <w:iCs w:val="false"/>
          <w:color w:val="000000"/>
          <w:sz w:val="22"/>
          <w:szCs w:val="22"/>
        </w:rPr>
        <w:t xml:space="preserve">Pardos, Z. A., Yu, R., &amp; Jiang, W. (2017). Connectionist Recommendation in the Wild: on the utility and scrutiny of knowledge filtering in massive MOOCs. Proceedings of the 25th Conference on User Modeling, Adaptation and Personalization, 44–52.</w:t>
      </w:r>
    </w:p>
    <w:p>
      <w:pPr>
        <w:spacing w:after="80" w:before="80"/>
        <w:ind w:left="360"/>
        <w:jc w:val="left"/>
      </w:pPr>
      <w:r>
        <w:rPr>
          <w:rFonts w:ascii="Arial" w:cs="Arial" w:eastAsia="Arial" w:hAnsi="Arial"/>
          <w:b w:val="false"/>
          <w:bCs w:val="false"/>
          <w:i w:val="false"/>
          <w:iCs w:val="false"/>
          <w:color w:val="000000"/>
          <w:sz w:val="22"/>
          <w:szCs w:val="22"/>
        </w:rPr>
        <w:t xml:space="preserve">Pedregosa, F., et al. (2011). Scikit-learn: Machine Learning in Python. Journal of Machine Learning Research, 12, 2825–2830.</w:t>
      </w:r>
    </w:p>
    <w:p>
      <w:pPr>
        <w:spacing w:after="80" w:before="80"/>
        <w:ind w:left="360"/>
        <w:jc w:val="left"/>
      </w:pPr>
      <w:r>
        <w:rPr>
          <w:rFonts w:ascii="Arial" w:cs="Arial" w:eastAsia="Arial" w:hAnsi="Arial"/>
          <w:b w:val="false"/>
          <w:bCs w:val="false"/>
          <w:i w:val="false"/>
          <w:iCs w:val="false"/>
          <w:color w:val="000000"/>
          <w:sz w:val="22"/>
          <w:szCs w:val="22"/>
        </w:rPr>
        <w:t xml:space="preserve">Romero, C., &amp; Ventura, S. (2010). Educational Data Mining: A Review of the State of the Art. IEEE Transactions on Systems, Man, and Cybernetics, 40(6), 601–618.</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pgNum/>
    <w:r>
      <w:rPr>
        <w:rFonts w:ascii="Arial" w:cs="Arial" w:eastAsia="Arial" w:hAnsi="Arial"/>
        <w:color w:val="808080"/>
        <w:sz w:val="18"/>
        <w:szCs w:val="18"/>
      </w:rPr>
      <w:t xml:space="preserve">  |  Unified Mentor · EduPro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5A11" w:sz="4" w:space="4"/>
      </w:pBdr>
      <w:jc w:val="right"/>
    </w:pPr>
    <w:r>
      <w:rPr>
        <w:rFonts w:ascii="Arial" w:cs="Arial" w:eastAsia="Arial" w:hAnsi="Arial"/>
        <w:color w:val="808080"/>
        <w:sz w:val="18"/>
        <w:szCs w:val="18"/>
      </w:rPr>
      <w:t xml:space="preserve">EduPro — Predictive Modeling for Course Demand &amp; Revenue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55A11"/>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2026-04-30T06:53:12.994Z</dcterms:created>
  <dcterms:modified xsi:type="dcterms:W3CDTF">2026-04-30T06:53:12.996Z</dcterms:modified>
</cp:coreProperties>
</file>

<file path=docProps/custom.xml><?xml version="1.0" encoding="utf-8"?>
<Properties xmlns="http://schemas.openxmlformats.org/officeDocument/2006/custom-properties" xmlns:vt="http://schemas.openxmlformats.org/officeDocument/2006/docPropsVTypes"/>
</file>