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80"/>
        <w:jc w:val="center"/>
      </w:pPr>
      <w:r>
        <w:rPr>
          <w:rFonts w:ascii="Times New Roman" w:hAnsi="Times New Roman"/>
          <w:b/>
          <w:i w:val="0"/>
          <w:sz w:val="30"/>
        </w:rPr>
        <w:t>Rende Servizi — Piano Industriale (bozza)</w:t>
      </w:r>
    </w:p>
    <w:p>
      <w:pPr>
        <w:spacing w:line="240" w:lineRule="auto" w:before="0" w:after="280"/>
        <w:jc w:val="center"/>
      </w:pPr>
      <w:r>
        <w:rPr>
          <w:rFonts w:ascii="Times New Roman" w:hAnsi="Times New Roman"/>
          <w:b w:val="0"/>
          <w:i/>
          <w:color w:val="5A5A5A"/>
          <w:sz w:val="21"/>
        </w:rPr>
        <w:t>Appunti del 30 ottobre 2026</w:t>
      </w:r>
    </w:p>
    <w:p>
      <w:pPr>
        <w:spacing w:line="276" w:lineRule="auto"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1. Elementi della bozza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 w:val="0"/>
          <w:i w:val="0"/>
          <w:sz w:val="22"/>
        </w:rPr>
        <w:t>Conferma dei costi del 2026.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 w:val="0"/>
          <w:i w:val="0"/>
          <w:sz w:val="22"/>
        </w:rPr>
        <w:t>Perdite anno 2026: circa € 300.000 (incluso extra-convenzione), da recuperare.</w:t>
      </w:r>
    </w:p>
    <w:p>
      <w:pPr>
        <w:pStyle w:val="ListBullet2"/>
        <w:spacing w:line="276" w:lineRule="auto" w:after="60"/>
        <w:jc w:val="both"/>
      </w:pPr>
      <w:r>
        <w:rPr>
          <w:rFonts w:ascii="Times New Roman" w:hAnsi="Times New Roman"/>
          <w:b w:val="0"/>
          <w:i w:val="0"/>
          <w:sz w:val="22"/>
        </w:rPr>
        <w:t>Non ammortizzare l’immobile CRAI.</w:t>
      </w:r>
    </w:p>
    <w:p>
      <w:pPr>
        <w:pStyle w:val="ListBullet2"/>
        <w:spacing w:line="276" w:lineRule="auto" w:after="60"/>
        <w:jc w:val="both"/>
      </w:pPr>
      <w:r>
        <w:rPr>
          <w:rFonts w:ascii="Times New Roman" w:hAnsi="Times New Roman"/>
          <w:b w:val="0"/>
          <w:i w:val="0"/>
          <w:sz w:val="22"/>
        </w:rPr>
        <w:t>Quota di ammortamento: € 150.000,00.</w:t>
      </w:r>
    </w:p>
    <w:p>
      <w:pPr>
        <w:pStyle w:val="ListBullet2"/>
        <w:spacing w:line="276" w:lineRule="auto" w:after="60"/>
        <w:jc w:val="both"/>
      </w:pPr>
      <w:r>
        <w:rPr>
          <w:rFonts w:ascii="Times New Roman" w:hAnsi="Times New Roman"/>
          <w:b w:val="0"/>
          <w:i w:val="0"/>
          <w:sz w:val="22"/>
        </w:rPr>
        <w:t>Immobile inagibile e in comodato d’uso → non utile alla gestione operativa.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 w:val="0"/>
          <w:i w:val="0"/>
          <w:sz w:val="22"/>
        </w:rPr>
        <w:t>Manutenzioni automezzi → capitalizzare.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 w:val="0"/>
          <w:i w:val="0"/>
          <w:sz w:val="22"/>
        </w:rPr>
        <w:t>Costo del carburante: aumento.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 w:val="0"/>
          <w:i w:val="0"/>
          <w:sz w:val="22"/>
        </w:rPr>
        <w:t>Non c’è il cuneo fiscale sul lavoro dipendente → riduzione.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 w:val="0"/>
          <w:i w:val="0"/>
          <w:sz w:val="22"/>
        </w:rPr>
        <w:t>Aumento dei costi: incremento del CCNL di settore.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 w:val="0"/>
          <w:i w:val="0"/>
          <w:sz w:val="22"/>
        </w:rPr>
        <w:t>Lavoratori interinali.</w:t>
      </w:r>
    </w:p>
    <w:p>
      <w:pPr>
        <w:spacing w:line="276" w:lineRule="auto"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2. Manovra correttiva — anno 2026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 w:val="0"/>
          <w:i w:val="0"/>
          <w:sz w:val="22"/>
        </w:rPr>
        <w:t>Adeguati assetti organizzativi (art. 2086 c.c.).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 w:val="0"/>
          <w:i w:val="0"/>
          <w:sz w:val="22"/>
        </w:rPr>
        <w:t>Investimenti.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 w:val="0"/>
          <w:i w:val="0"/>
          <w:sz w:val="22"/>
        </w:rPr>
        <w:t>Durata del Piano Industriale: 2027-2029.</w:t>
      </w:r>
    </w:p>
    <w:p>
      <w:pPr>
        <w:spacing w:line="276" w:lineRule="auto"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3. Tempistica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 w:val="0"/>
          <w:i w:val="0"/>
          <w:sz w:val="22"/>
        </w:rPr>
        <w:t>Piano Industriale: 15-20 novembre 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