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«Южно-Уральский государственный университет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(национальный исследовательский университет)»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Центр «ВиртУм»</w:t>
      </w:r>
    </w:p>
    <w:p>
      <w:pPr>
        <w:spacing w:after="0" w:line="360" w:lineRule="auto"/>
        <w:ind w:firstLine="0"/>
        <w:jc w:val="center"/>
      </w:pP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УТВЕРЖДАЮ:</w:t>
      </w: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Директор ИЕТН</w:t>
      </w: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___________А.А. Замышляева</w:t>
      </w:r>
    </w:p>
    <w:p>
      <w:pPr>
        <w:spacing w:after="12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___________________2026 г.</w:t>
      </w:r>
    </w:p>
    <w:p>
      <w:pPr>
        <w:spacing w:after="0" w:line="360" w:lineRule="auto"/>
        <w:ind w:firstLine="0"/>
        <w:jc w:val="center"/>
      </w:pP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ОТЧЕТ</w:t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по учебной (технологической, проектно-технологической) практике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ЮУрГУ – 09.03.03.2026.306–016.УП</w:t>
      </w:r>
    </w:p>
    <w:p>
      <w:pPr>
        <w:spacing w:after="0" w:line="360" w:lineRule="auto"/>
        <w:ind w:firstLine="0"/>
        <w:jc w:val="center"/>
      </w:pP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Руководитель практики:</w:t>
      </w: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канд. физ.-мат. наук</w:t>
      </w:r>
    </w:p>
    <w:p>
      <w:pPr>
        <w:spacing w:after="12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___________Краева Я.А.</w:t>
      </w: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Автор работы:</w:t>
      </w: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студент группы ЕТ-103</w:t>
      </w:r>
    </w:p>
    <w:p>
      <w:pPr>
        <w:spacing w:after="12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___________Михайлов М.В.</w:t>
      </w: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Отчет защищен с оценкой:</w:t>
      </w:r>
    </w:p>
    <w:p>
      <w:pPr>
        <w:spacing w:after="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spacing w:after="120" w:line="360" w:lineRule="auto"/>
        <w:ind w:firstLine="0" w:left="5953"/>
        <w:jc w:val="left"/>
      </w:pPr>
      <w:r>
        <w:rPr>
          <w:rFonts w:ascii="Times New Roman" w:hAnsi="Times New Roman"/>
          <w:b w:val="0"/>
          <w:i w:val="0"/>
          <w:sz w:val="24"/>
        </w:rPr>
        <w:t>«____»______________ 2026 г.</w:t>
      </w:r>
    </w:p>
    <w:p>
      <w:pPr>
        <w:spacing w:after="0" w:line="360" w:lineRule="auto"/>
        <w:ind w:firstLine="0"/>
        <w:jc w:val="center"/>
      </w:pP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Челябинск, 2026 г.</w:t>
      </w:r>
    </w:p>
    <w:p>
      <w:pPr>
        <w:spacing w:line="360" w:lineRule="auto"/>
        <w:ind w:firstLine="0"/>
      </w:pPr>
      <w:r>
        <w:br w:type="page"/>
      </w:r>
    </w:p>
    <w:bookmarkStart w:id="29" w:name="отчёт-по-учебной-практике"/>
    <w:bookmarkStart w:id="9" w:name="X1faa53611c55db98a9e65a40e4e216a43018414"/>
    <w:bookmarkEnd w:id="9"/>
    <w:bookmarkStart w:id="10" w:name="введение"/>
    <w:p>
      <w:pPr>
        <w:pStyle w:val="Heading2"/>
        <w:jc w:val="left"/>
      </w:pPr>
      <w:r>
        <w:t xml:space="preserve">ВВЕДЕНИЕ</w:t>
      </w:r>
    </w:p>
    <w:p>
      <w:pPr>
        <w:pStyle w:val="FirstParagraph"/>
        <w:jc w:val="both"/>
      </w:pPr>
      <w:r>
        <w:t xml:space="preserve">Учебная практика по теме «Интеллектуальный анализ данных в KNIME и трёхмерное моделирование в Blender» была направлена на закрепление базовых знаний по анализу данных, машинному обучению, визуализации и проектной деятельности. Актуальность такой практики связана с тем, что современная ИТ-сфера требует не только понимания теории, но и умения быстро применять инструменты для работы с данными, строить модели, визуализировать результаты и представлять их в наглядной форме. В ходе практики были затронуты сквозные технологии, связанные с анализом данных, машинным обучением, визуальным программированием, 3D-моделированием и командной разработкой.</w:t>
      </w:r>
    </w:p>
    <w:p>
      <w:pPr>
        <w:pStyle w:val="BodyText"/>
        <w:jc w:val="both"/>
      </w:pPr>
      <w:r>
        <w:t xml:space="preserve">Выбор KNIME Analytics Platform и Blender для учебной практики был оправдан их прикладным характером и наглядностью. KNIME рассматривался как удобная no-code/low-code среда для анализа данных и машинного обучения, в которой поток обработки строится из готовых узлов, что позволяет сосредоточиться на логике решения задачи, а не на большом объёме кода. Blender, в свою очередь, используется для трёхмерного моделирования, визуализации и разработки цифрового контента, поэтому его освоение важно для понимания современных инструментов компьютерной графики и проектной работы с визуальными объектами.</w:t>
      </w:r>
    </w:p>
    <w:p>
      <w:pPr>
        <w:pStyle w:val="BodyText"/>
        <w:jc w:val="both"/>
      </w:pPr>
      <w:r>
        <w:t xml:space="preserve">Практика проходила в два этапа: первый этап был выездным на базе оздоровительного лагеря «Олимп», второй — университетским на базе Южно-Уральского государственного университета. Первый этап был полностью посвящён работе в среде KNIME: в его рамках прошёл цикл лекций по машинному обучению, лекция по Scrum, мастер-класс по анализу тональности отзывов, а также серия практических занятий, на которых разбирались задачи предобработки данных, регрессии, поиска шаблонов, классификации и кластеризации. Второй, университетский этап был посвящён освоению трёхмерного моделирования в программе Blender: в его рамках были выполнены практические задания по навигации и построению полигональных моделей, работе с материалами и шейдингом, созданию анимации и физическим симуляциям объектов, настройке рендеринга на движке Cycles и программному управлению сценой через Python API (модуль bpy). Также в рамках практики была проведена проектная работа в командном формате — хакатон «Анимагия». Подробное распределение содержания по этапам в приложенных материалах не раскрыто полностью, поэтому часть организационных деталей (точные даты, продолжительность каждого этапа) остаётся [неизвестно].</w:t>
      </w:r>
    </w:p>
    <w:p>
      <w:pPr>
        <w:pStyle w:val="BodyText"/>
        <w:jc w:val="both"/>
      </w:pPr>
      <w:r>
        <w:t xml:space="preserve">Целью учебной практики являлось закрепление теоретических знаний и практических навыков, полученных при изучении базовых дисциплин и дисциплин вариативной части учебного плана, а также развитие навыков работы над прикладными задачами. Для достижения этой цели решались задачи, связанные с освоением инструментов анализа данных, разбором методов машинного обучения, работой в команде, оформлением результатов и размещением выполненных материалов в учебной среде.</w:t>
      </w:r>
    </w:p>
    <w:p>
      <w:pPr>
        <w:pStyle w:val="BodyText"/>
        <w:jc w:val="both"/>
      </w:pPr>
      <w:r>
        <w:t xml:space="preserve">Работа состоит из введения, трёх разделов, заключения и списка литературы. В первом разделе рассматриваются теоретические основы анализа данных и проектной деятельности, включая лекционный материал, разбор практических задач в KNIME и участие в хакатоне «Анимагия». Во втором разделе подробно описываются процесс и результаты самостоятельного решения аналитических задач на собственных данных в среде KNIME Analytics Platform. Третий раздел, посвящённый работе в Blender, а также заключение и список литературы в рамках данного этапа подготовки отчёта не раскрываются.</w:t>
      </w:r>
    </w:p>
    <w:bookmarkEnd w:id="10"/>
    <w:bookmarkStart w:id="15" w:name="X377bad6417277245bc133afe41a352890aeb4fc"/>
    <w:p>
      <w:pPr>
        <w:pStyle w:val="Heading2"/>
        <w:jc w:val="left"/>
      </w:pPr>
      <w:r>
        <w:t xml:space="preserve">1. ТЕОРЕТИЧЕСКИЕ ОСНОВЫ АНАЛИЗА ДАННЫХ И ПРОЕКТНОЙ ДЕЯТЕЛЬНОСТИ</w:t>
      </w:r>
    </w:p>
    <w:bookmarkStart w:id="11" w:name="содержание-лекционного-курса"/>
    <w:p>
      <w:pPr>
        <w:pStyle w:val="Heading3"/>
        <w:jc w:val="left"/>
      </w:pPr>
      <w:r>
        <w:t xml:space="preserve">1.1. Содержание лекционного курса</w:t>
      </w:r>
    </w:p>
    <w:p>
      <w:pPr>
        <w:pStyle w:val="FirstParagraph"/>
        <w:jc w:val="both"/>
      </w:pPr>
      <w:r>
        <w:t xml:space="preserve">В рамках учебной практики были проведены лекция по Scrum, цикл лекций по машинному обучению, лекции по агентам и локальным LLM, а также мастер-класс по анализу тональности отзывов. При этом в приложенных материалах подробно представлены лекции по Scrum, машинному обучению и мастер-класс по анализу тональности отзывов, а сведения о содержании лекций по агентам и локальным LLM в доступных файлах отсутствуют, поэтому эта часть может быть описана только частично.</w:t>
      </w:r>
    </w:p>
    <w:p>
      <w:pPr>
        <w:pStyle w:val="BodyText"/>
        <w:jc w:val="both"/>
      </w:pPr>
      <w:r>
        <w:t xml:space="preserve">Лекция по Scrum была посвящена гибким подходам к организации командной работы в ИТ-проектах. В материале рассматривались идеи Agile, особенности Scrum как подхода к управлению разработкой, распределение ролей и организация работы в итерационном формате. Подробный перечень всех рассмотренных вопросов в приложенном фрагменте лекции раскрыт не полностью, поэтому часть содержания остаётся [неизвестно].</w:t>
      </w:r>
    </w:p>
    <w:p>
      <w:pPr>
        <w:pStyle w:val="BodyText"/>
        <w:jc w:val="both"/>
      </w:pPr>
      <w:r>
        <w:rPr/>
        <w:t>Цикл лекций по машинному обучению включал несколько крупных тем: введение в машинное обучение, регрессию, поиск шаблонов, классификацию и кластеризацию.</w:t>
      </w:r>
    </w:p>
    <w:p>
      <w:pPr>
        <w:pStyle w:val="BodyText"/>
        <w:jc w:val="both"/>
      </w:pPr>
      <w:r>
        <w:rPr/>
        <w:t>Лекция № 1 (Введение в машинное обучение): рассмотрено соотношение искусственного интеллекта, машинного и глубокого обучения, этапы решения задачи машинного обучения (постановка задачи, сбор данных, предобработка, обучение модели, оценка качества, внедрение), а также типы обучения — с учителем, без учителя, частичное и с подкреплением.</w:t>
      </w:r>
    </w:p>
    <w:p>
      <w:pPr>
        <w:pStyle w:val="BodyText"/>
        <w:jc w:val="both"/>
      </w:pPr>
      <w:r>
        <w:rPr/>
        <w:t>Лекция № 2 (Регрессия): рассмотрены постановка задачи регрессии, линейная регрессия, метод наименьших квадратов, градиентный спуск и метрики качества MAE, RMSE, MSE.</w:t>
      </w:r>
    </w:p>
    <w:p>
      <w:pPr>
        <w:pStyle w:val="BodyText"/>
        <w:jc w:val="both"/>
      </w:pPr>
      <w:r>
        <w:rPr/>
        <w:t>Лекция № 3 (Поиск шаблонов): разобраны понятия поддержки и достоверности, принцип Apriori и логика поиска ассоциативных правил в транзакционных данных.</w:t>
      </w:r>
    </w:p>
    <w:p>
      <w:pPr>
        <w:pStyle w:val="BodyText"/>
        <w:jc w:val="both"/>
      </w:pPr>
      <w:r>
        <w:rPr/>
        <w:t>Лекция № 4 (Классификация): рассмотрены деревья решений, алгоритм ID3, прирост информации, энтропия, матрица ошибок и метрики accuracy, precision, recall, F-мера.</w:t>
      </w:r>
    </w:p>
    <w:p>
      <w:pPr>
        <w:pStyle w:val="BodyText"/>
        <w:jc w:val="both"/>
      </w:pPr>
      <w:r>
        <w:rPr/>
        <w:t>Лекция № 5 (Кластеризация): изучены алгоритмы k-means и k-medoids, метод локтя и силуэтный коэффициент как способы оценки качества кластеризации.</w:t>
      </w:r>
    </w:p>
    <w:p>
      <w:pPr>
        <w:pStyle w:val="BodyText"/>
        <w:jc w:val="both"/>
      </w:pPr>
      <w:r>
        <w:rPr/>
        <w:t>Отдельным мероприятием первого этапа стал мастер-класс по анализу тональности отзывов, который провёл Ким Артём (группа ЕТ-2003). В ходе занятия были рассмотрены понятие тональности текста, место этой задачи среди других направлений искусственного интеллекта (Computer Vision, NLP, рекомендательные системы и др.), а также четыре подхода к определению тональности — словарный метод, TF-IDF с логистической регрессией, LSTM и Transformer — с их преимуществами и ограничениями. Отдельно была отмечена роль качества разметки данных в итоговом качестве модели.</w:t>
      </w:r>
    </w:p>
    <w:p>
      <w:pPr>
        <w:pStyle w:val="BodyText"/>
        <w:jc w:val="both"/>
      </w:pPr>
      <w:r>
        <w:t xml:space="preserve">В практической части мастер-класса участники самостоятельно собирали и размечали отзывы на различные произведения (фильмы, видеоигры, сериалы) по трём классам тональности — положительный, отрицательный и нейтральный, а затем проверяли на своих примерах, как разные модели анализа тональности справляются с неоднозначными и провокационными отзывами. В числе представленных на занятии данных был отмечен и личный вклад: среди собранных материалов фигурируют три отзыва на альбом «Вот мой альбом, сори» группы «СЕРЕГА ПИРАТ», размеченные Михайловым М.В. (группа ЕТ-103).</w:t>
      </w:r>
    </w:p>
    <w:p>
      <w:pPr>
        <w:pStyle w:val="BodyText"/>
        <w:jc w:val="both"/>
      </w:pPr>
      <w:r>
        <w:t xml:space="preserve">Содержание лекций по агентам и локальным LLM в приложенных материалах не представлено, поэтому эта часть остаётся [неизвестно].</w:t>
      </w:r>
    </w:p>
    <w:bookmarkEnd w:id="11"/>
    <w:bookmarkStart w:id="12" w:name="X956145f91c04d6e8decc2dac5bcd235f2e2ff7c"/>
    <w:p>
      <w:pPr>
        <w:pStyle w:val="Heading3"/>
        <w:jc w:val="left"/>
      </w:pPr>
      <w:r>
        <w:t xml:space="preserve">1.2. Разбор решений практических задач в KNIME</w:t>
      </w:r>
    </w:p>
    <w:p>
      <w:pPr>
        <w:pStyle w:val="FirstParagraph"/>
        <w:jc w:val="both"/>
      </w:pPr>
      <w:r>
        <w:t xml:space="preserve">Практические занятия были посвящены знакомству со средой KNIME и разбору типовых задач машинного обучения на готовых наборах данных. KNIME Analytics Platform представляет собой платформу с открытым исходным кодом для анализа данных и машинного обучения с графическим интерфейсом, в котором решение собирается из готовых узлов в виде workflow. Такой подход делает работу наглядной и позволяет пошагово видеть, как данные проходят через этапы загрузки, преобразования, моделирования и визуализации результатов.</w:t>
      </w:r>
    </w:p>
    <w:p>
      <w:pPr>
        <w:pStyle w:val="BodyText"/>
        <w:jc w:val="both"/>
      </w:pPr>
      <w:r>
        <w:rPr/>
        <w:t>На вводной практике было показано, как установить KNIME, создать рабочую область и собрать первый workflow, а в качестве демонстрационной задачи использовалась кластеризация данных о претендентах на вакансию по результатам десяти тестов личностных качеств.</w:t>
      </w:r>
    </w:p>
    <w:p>
      <w:pPr>
        <w:pStyle w:val="BodyText"/>
        <w:jc w:val="both"/>
      </w:pPr>
      <w:r>
        <w:t xml:space="preserve">В ходе разборов был пройден типичный цикл работы с данными, характерный для задач машинного обучения. Сначала выполнялась загрузка данных из CSV-файлов, затем проводились первичный анализ и предобработка, после чего строилась модель, оценивались результаты и выполнялась их визуализация. За счёт этого стало понятно, что даже в визуальной среде анализ данных требует такой же аккуратности в работе с выборкой, как и при программной реализации.</w:t>
      </w:r>
    </w:p>
    <w:p>
      <w:pPr>
        <w:pStyle w:val="BodyText"/>
        <w:jc w:val="both"/>
      </w:pPr>
      <w:r>
        <w:rPr/>
        <w:t>Также были разобраны задачи регрессии (прогнозирование рыночной стоимости квартиры по данным объявлений в Челябинске), поиска шаблонов (набор Market Basket Analysis с использованием алгоритма Apriori), классификации (данные Adult Census Income) и кластеризации (данные о поведении клиентов Starbucks). Подробный ход решения этих задач и полученные результаты приведены во втором разделе данного отчёта.</w:t>
      </w:r>
    </w:p>
    <w:p>
      <w:pPr>
        <w:pStyle w:val="BodyText"/>
        <w:jc w:val="both"/>
      </w:pPr>
      <w:r>
        <w:t xml:space="preserve">Практические разборы показали, что KNIME удобен для изучения логики аналитического процесса целиком, а не только отдельных алгоритмов. Работа с визуальными workflow позволила лучше увидеть связь между подготовкой данных, качеством модели и итоговой интерпретацией результата. В итоге практическая часть по KNIME стала хорошей основой для последующего самостоятельного решения аналитических задач, описанного во втором разделе данного отчёта.</w:t>
      </w:r>
    </w:p>
    <w:bookmarkEnd w:id="12"/>
    <w:bookmarkStart w:id="13" w:name="участие-в-хакатоне-анимагия"/>
    <w:p>
      <w:pPr>
        <w:pStyle w:val="Heading3"/>
        <w:jc w:val="left"/>
      </w:pPr>
      <w:r>
        <w:t xml:space="preserve">1.3. Участие в хакатоне «Анимагия»</w:t>
      </w:r>
    </w:p>
    <w:p>
      <w:pPr>
        <w:pStyle w:val="FirstParagraph"/>
        <w:jc w:val="both"/>
      </w:pPr>
      <w:r>
        <w:t xml:space="preserve">После завершения лекционной и практической частей первого этапа практики был проведён хакатон «Анимагия» продолжительностью 24 часа, а задача была предоставлена индустриальным партнёром «Инновации детям». Работа велась в командном формате, где участники распределяли роли и отвечали за отдельные части общего решения.</w:t>
      </w:r>
    </w:p>
    <w:p>
      <w:pPr>
        <w:pStyle w:val="BodyText"/>
        <w:jc w:val="both"/>
      </w:pPr>
      <w:r>
        <w:t xml:space="preserve">Индустриальным партнёром была поставлена задача создать интерактивное цифровое решение для детей на основе классической раскраски: обычный процесс раскрашивания рисунка на бумаге или на экране должен получить продолжение в цифровом виде, за счёт чего у ребёнка появляется мгновенная обратная связь и общий результат, видимый сразу несколькими участниками.</w:t>
      </w:r>
    </w:p>
    <w:p>
      <w:pPr>
        <w:pStyle w:val="BodyText"/>
        <w:jc w:val="both"/>
      </w:pPr>
      <w:r>
        <w:t xml:space="preserve">По итогам хакатона командой был разработан проект «Fishing vision» — раскраска, которая оживает: ребёнок раскрашивает рыбку на бумаге или на экране, после чего она за несколько секунд появляется и начинает плавать в общем цифровом аквариуме на большом экране. Для решения задачи командой была выбрана архитектура «клиент–сервер» в локальной сети, что было обосновано скоростью разработки и простотой отладки в условиях 24-часового хакатона. Архитектура была разделена на три устройства (узла): «Сканер» — интерфейс на телефоне или ноутбуке ребёнка (index.html + app.js), где рыбку можно нарисовать пальцем на экране (среди девяти доступных типов — клоун, акула, осьминог, кит, кальмар, краб, дельфин, черепаха, обычная рыбка) либо сфотографировать раскрашенный на бумаге рисунок; «Сервер» — компонент на FastAPI с использованием библиотеки компьютерного зрения OpenCV, который принимает изображение, находит на фото лист бумаги, выпрямляет перспективу, отделяет рыбку от руки, ручки и края стола и приводит результат к формату PNG 512×512 с прозрачным фоном; «Аквариум» («Стена») — общий экран или проектор с визуализацией на HTML5 Canvas 2D, где рыбки двигаются по boid-модели (не сталкиваются друг с другом, плавно разворачиваются и всегда плывут головой вперёд), а зрители могут покормить рыбку кликом. Связь между устройствами была организована через два основных канала — WebSocket для мгновенной передачи новой рыбки на «Стену» и HTTP-опрос как резервный вариант на случай проблем с Wi-Fi, при этом все устройства работали в общей локальной сети без необходимости подключения к интернету. Команда отдельно проверяла устойчивость решения: обработку изображений с рукой и ручкой в кадре, плохое освещение и наклон камеры, а также восстановление после обрыва связи.</w:t>
      </w:r>
    </w:p>
    <w:p>
      <w:pPr>
        <w:pStyle w:val="BodyText"/>
        <w:jc w:val="both"/>
      </w:pPr>
      <w:r>
        <w:t xml:space="preserve">Личный вклад в проект заключался в исполнении роли тимлида команды «Fishing vision». Помимо организации командной работы и распределения задач между участниками, в этой роли выполнялась координация между тремя технологическими направлениями проекта — «Сканер», «Сервер» и «Стена» — и контроль за тем, чтобы наработки участников итогово соединялись в единый рабочий продукт к моменту защиты хакатона. Полный состав команды «Fishing vision» включал одиннадцать участников: Мичурин Владислав (backend-разработчик), Цикунов Матвей (помощник backend-разработчика), Тихонов Владислав (выступающий и помощник разработчика ПО), Бобровников Марк (разработчик ПО), Кравченко Арсений (тестировщик продукта), Ракаева Дарина и Тюкель Софья (UX-дизайнеры), Уряшев Кирилл и Степанов Андрей (разработка сканера), Манько Владислав (выступающий) и Водолеев Иван (выступающий, тестировщик). К моменту защиты был готов полный цикл решения — от рисунка до появления рыбки в аквариуме, — устойчивый к обрыву связи и качеству входных фотографий и работающий полностью в локальной сети.</w:t>
      </w:r>
    </w:p>
    <w:bookmarkEnd w:id="13"/>
    <w:bookmarkStart w:id="14" w:name="выводы-по-первому-разделу"/>
    <w:p>
      <w:pPr>
        <w:pStyle w:val="Heading3"/>
        <w:jc w:val="left"/>
      </w:pPr>
      <w:r>
        <w:t xml:space="preserve">Выводы по первому разделу</w:t>
      </w:r>
    </w:p>
    <w:p>
      <w:pPr>
        <w:pStyle w:val="FirstParagraph"/>
        <w:jc w:val="both"/>
      </w:pPr>
      <w:r>
        <w:t xml:space="preserve">В первом разделе были рассмотрены основные теоретические и практические направления учебной практики. Было показано, что лекционная часть дала базу по машинному обучению, обработке естественного языка и проектной деятельности, а практические занятия в KNIME позволили увидеть полный цикл решения аналитических задач на реальных наборах данных. Отдельно был разобран мастер-класс по анализу тональности текста, который расширил представление о методах NLP — от простых словарных подходов до современных архитектур на основе Transformer. Участие в хакатоне «Анимагия» и разработка проекта «Fishing vision» позволили применить полученные знания в командном формате и на практике пройти полный цикл создания прикладного цифрового продукта — от постановки задачи индустриальным партнёром до готового к демонстрации решения. Часть сведений, связанных с лекциями по агентам и локальным LLM, а также с отдельными организационными деталями практики, в приложенных материалах отсутствует, поэтому эти фрагменты отмечены как [неизвестно].</w:t>
      </w:r>
    </w:p>
    <w:bookmarkEnd w:id="14"/>
    <w:bookmarkEnd w:id="15"/>
    <w:bookmarkStart w:id="22" w:name="интеллектуальный-анализ-данных-в-knime"/>
    <w:p>
      <w:pPr>
        <w:pStyle w:val="Heading2"/>
        <w:jc w:val="left"/>
      </w:pPr>
      <w:r>
        <w:t xml:space="preserve">2. ИНТЕЛЛЕКТУАЛЬНЫЙ АНАЛИЗ ДАННЫХ В KNIME</w:t>
      </w:r>
    </w:p>
    <w:bookmarkStart w:id="16" w:name="задача-предобработки-данных"/>
    <w:p>
      <w:pPr>
        <w:pStyle w:val="Heading3"/>
        <w:jc w:val="left"/>
      </w:pPr>
      <w:r>
        <w:t xml:space="preserve">2.1. Задача предобработки данных</w:t>
      </w:r>
    </w:p>
    <w:p>
      <w:pPr>
        <w:pStyle w:val="FirstParagraph"/>
        <w:jc w:val="both"/>
      </w:pPr>
      <w:r>
        <w:rPr>
          <w:b/>
          <w:bCs/>
        </w:rPr>
        <w:t xml:space="preserve">Постановка задачи и описание данных</w:t>
      </w:r>
    </w:p>
    <w:p>
      <w:pPr>
        <w:pStyle w:val="BodyText"/>
        <w:jc w:val="both"/>
      </w:pPr>
      <w:r>
        <w:t xml:space="preserve">В рамках данной работы была решена задача первичного анализа и предобработки образовательных данных для последующего построения моделей машинного обучения. Цель работы состояла в подготовке набора данных об учащихся к использованию в задачах регрессии и классификации: выявлении взаимосвязей между признаками, исключении дублирующихся записей и категориальных данных из числового анализа, а также создании производных признаков для более удобной интерпретации результатов. Актуальность задачи связана с тем, что качество предобработки данных напрямую влияет на точность последующих моделей — без удаления дублей и понимания структуры корреляций дальнейшее обучение моделей теряет смысл. Предметная область — образовательная аналитика, конкретно анализ успеваемости школьников. Практическая значимость заключается в том, что подобная предобработка позволяет учебным заведениям выявлять факторы, связанные с успеваемостью, и на основе этого выстраивать индивидуальную работу с учащимися. Входными данными являются исходные записи об учащихся с разнородными типами признаков (числовые, категориальные, бинарные), выходными — очищенный набор без дубликатов, набор корреляций между числовыми признаками и категоризированный по уровню успеваемости датасет.</w:t>
      </w:r>
    </w:p>
    <w:p>
      <w:pPr>
        <w:pStyle w:val="BodyText"/>
        <w:jc w:val="both"/>
      </w:pPr>
      <w:r>
        <w:t xml:space="preserve">Для решения задачи использовался набор данных Student Performance из репозитория UCI Machine Learning Repository (файл student-por.csv), содержащий сведения об учащихся, изучающих португальский язык. Набор содержит 649 записей и 33 признака, включая три оценки — G1, G2 и G3 (итоговая оценка за год, использованная в дальнейшем как целевая переменная). Способ сбора данных в документации к набору указан как анкетирование учащихся и выгрузка школьных журналов. Среди признаков присутствуют демографические (age, sex, address), семейные (famsize, Pstatus, Medu, Fedu, Mjob, Fjob), учебные (studytime, failures, schoolsup, paid) и поведенческие (goout, Dalc, Walc, health, absences) характеристики, представленные в числовом, бинарном и категориальном виде.</w:t>
      </w:r>
    </w:p>
    <w:p>
      <w:pPr>
        <w:pStyle w:val="BodyText"/>
        <w:jc w:val="both"/>
      </w:pPr>
      <w:r>
        <w:rPr>
          <w:b/>
          <w:bCs/>
        </w:rPr>
        <w:t xml:space="preserve">Описание решения задачи</w:t>
      </w:r>
    </w:p>
    <w:p>
      <w:pPr>
        <w:pStyle w:val="BodyText"/>
        <w:jc w:val="both"/>
      </w:pPr>
      <w:r>
        <w:t xml:space="preserve">Общая схема решения включает загрузку данных, статистический анализ, удаление дублирующихся строк, корреляционный анализ числовых признаков, кодирование категориальных признаков в числовой вид и создание двух производных признаков на основе итоговой оценки — уровня успеваемости и признака-заглушки для выбросов.</w:t>
      </w:r>
      <w:r>
        <w:rPr/>
        <w:t xml:space="preserve"> Поток работ в KNIME представлен на рисунке 1.</w:t>
      </w:r>
    </w:p>
    <w:p>
      <w:pPr>
        <w:pStyle w:val="BodyText"/>
        <w:spacing w:line="240" w:lineRule="auto" w:after="0"/>
        <w:ind w:firstLine="0"/>
        <w:jc w:val="center"/>
      </w:pPr>
      <w:r>
        <w:drawing>
          <wp:inline>
            <wp:extent cx="5040000" cy="6437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2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3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line="240" w:lineRule="auto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1. Поток работ для решения задачи предобработки данных</w:t>
      </w:r>
    </w:p>
    <w:p>
      <w:pPr>
        <w:pStyle w:val="BodyText"/>
        <w:jc w:val="both"/>
      </w:pPr>
      <w:r>
        <w:t xml:space="preserve">Узел CSV Reader осуществляет загрузку данных из файла student-por.csv. В настройках указан разделитель столбцов «;», что соответствует формату исходного файла из репозитория UCI.</w:t>
      </w:r>
    </w:p>
    <w:p>
      <w:pPr>
        <w:pStyle w:val="BodyText"/>
        <w:jc w:val="both"/>
      </w:pPr>
      <w:r>
        <w:t xml:space="preserve">Узел Statistics вычисляет описательную статистику по всем 33 столбцам: минимум, максимум, среднее, медиану и число уникальных значений. Данный узел применён для первичного знакомства с распределением признаков перед дальнейшей обработкой.</w:t>
      </w:r>
    </w:p>
    <w:p>
      <w:pPr>
        <w:pStyle w:val="BodyText"/>
        <w:jc w:val="both"/>
      </w:pPr>
      <w:r>
        <w:t xml:space="preserve">Узел Duplicate Row Filter выполняет поиск и удаление полностью совпадающих строк. Настройки узла заданы так, чтобы при обнаружении дубликата сохранялась первая из совпадающих записей, а сравнение проводится по всем столбцам таблицы.</w:t>
      </w:r>
    </w:p>
    <w:p>
      <w:pPr>
        <w:pStyle w:val="BodyText"/>
        <w:jc w:val="both"/>
      </w:pPr>
      <w:r>
        <w:t xml:space="preserve">Узел Linear Correlation выполняет корреляционный анализ между 16 числовыми признаками, включая age, Medu, Fedu, traveltime, studytime, failures, famrel, freetime, goout, Dalc, Walc, health, absences, G1, G2 и G3. Категориальные признаки (school, sex, address, famsize и др.) были исключены из расчёта, так как коэффициент линейной корреляции применим только к числовым переменным. Узел Heatmap строит визуализацию полученной корреляционной матрицы для более наглядного восприятия зависимостей между признаками.</w:t>
      </w:r>
    </w:p>
    <w:p>
      <w:pPr>
        <w:pStyle w:val="BodyText"/>
        <w:jc w:val="both"/>
      </w:pPr>
      <w:r>
        <w:t xml:space="preserve">Узел Category to Number преобразует все категориальные и бинарные текстовые признаки (school, sex, address, famsize, Pstatus, Mjob, Fjob, reason, guardian, schoolsup, famsup, paid, activities, nursery, higher, internet, romantic) в числовые коды. Это необходимо для узлов, которые не могут работать с текстовыми категориями напрямую.</w:t>
      </w:r>
    </w:p>
    <w:p>
      <w:pPr>
        <w:pStyle w:val="BodyText"/>
        <w:jc w:val="both"/>
      </w:pPr>
      <w:r>
        <w:t xml:space="preserve">Узел Rule Engine создаёт новый признак performance_level, основанный на значении итоговой оценки G3: при значении 16 и выше присваивается категория «excellent», от 12 до 15 — «good», от 8 до 11 — «average», ниже 8 — «low». Это позволяет перейти от числовой шкалы оценок к укрупнённым группам успеваемости для последующего анализа.</w:t>
      </w:r>
    </w:p>
    <w:p>
      <w:pPr>
        <w:pStyle w:val="BodyText"/>
        <w:jc w:val="both"/>
      </w:pPr>
      <w:r>
        <w:t xml:space="preserve">Узел GroupBy вычисляет среднее значение оценки G3 и числа пропусков (absences), а также количество записей в каждой группе. Узел Rule-based Row Filter отбирает записи по трём условиям: итоговая оценка 15 баллов и выше, либо сочетание городского адреса, наличия интернета и отсутствия романтических отношений, либо нулевая итоговая оценка — для выделения крайних случаев в данных (отличники, потенциальные аномалии с нулевым баллом и группа с определённым сочетанием бытовых условий).</w:t>
      </w:r>
    </w:p>
    <w:p>
      <w:pPr>
        <w:pStyle w:val="BodyText"/>
        <w:jc w:val="both"/>
      </w:pPr>
      <w:r>
        <w:rPr>
          <w:b/>
          <w:bCs/>
        </w:rPr>
        <w:t xml:space="preserve">Описание полученных результатов</w:t>
      </w:r>
    </w:p>
    <w:p>
      <w:pPr>
        <w:pStyle w:val="BodyText"/>
        <w:jc w:val="both"/>
      </w:pPr>
      <w:r>
        <w:t xml:space="preserve">Общее число обработанных записей после удаления дубликатов составило 649 — совпадающих строк в исходном наборе не найдено. Корреляционный анализ и тепловая карта показали, что наиболее сильная связь с итоговой оценкой G3 наблюдается у промежуточных оценок G1 и G2, что ожидаемо, поскольку они отражают успеваемость в течение года. Среди прочих числовых признаков заметной корреляции с итоговой оценкой не обнаружено, что говорит о том, что успеваемость в этом наборе данных определяется в первую очередь предыдущими оценками, а не бытовыми или демографическими факторами.</w:t>
      </w:r>
    </w:p>
    <w:p>
      <w:pPr>
        <w:pStyle w:val="BodyText"/>
        <w:jc w:val="both"/>
      </w:pPr>
      <w:r>
        <w:t xml:space="preserve">После применения правил категоризации большая часть учащихся попала в группы «average» и «good», что соответствует типичному распределению оценок в выборке без явных перекосов. Отбор по правилам выделил 325 записей, удовлетворяющих условиям (отличники, определённое сочетание бытовых условий или нулевой балл), что показывает наличие заметной доли учащихся с высокими показателями либо специфическими условиями быта. Проведённая предобработка подготовила почву для дальнейшего решения задач регрессии и классификации на этом же наборе данных.</w:t>
      </w:r>
    </w:p>
    <w:bookmarkEnd w:id="16"/>
    <w:bookmarkStart w:id="17" w:name="задача-регрессии"/>
    <w:p>
      <w:pPr>
        <w:pStyle w:val="Heading3"/>
        <w:jc w:val="left"/>
      </w:pPr>
      <w:r>
        <w:t xml:space="preserve">2.2. Задача регрессии</w:t>
      </w:r>
    </w:p>
    <w:p>
      <w:pPr>
        <w:pStyle w:val="FirstParagraph"/>
        <w:jc w:val="both"/>
      </w:pPr>
      <w:r>
        <w:rPr>
          <w:b/>
          <w:bCs/>
        </w:rPr>
        <w:t xml:space="preserve">Постановка задачи и описание данных</w:t>
      </w:r>
    </w:p>
    <w:p>
      <w:pPr>
        <w:pStyle w:val="BodyText"/>
        <w:jc w:val="both"/>
      </w:pPr>
      <w:r>
        <w:t xml:space="preserve">В рамках данной работы решается задача прогнозирования итоговой оценки учащегося по португальскому языку на основе его демографических, семейных и учебных характеристик. Задача является актуальной, поскольку раннее прогнозирование успеваемости позволяет преподавателям заранее выявлять учащихся, которым может потребоваться дополнительная поддержка. Основная цель — построить регрессионную модель, которая по известным характеристикам учащегося (посещаемость, промежуточные оценки, время на учёбу, число неудачных попыток и другие признаки) позволяет предсказать итоговую оценку G3. Задача относится к сфере образовательной аналитики. Практическая значимость заключается в том, что автоматизированное прогнозирование позволяет школам и учителям точнее оценивать риски неуспеваемости и своевременно корректировать учебный процесс. Входными данными являются числовые, бинарные и закодированные категориальные признаки учащегося, выходными — прогнозируемое значение итоговой оценки G3 по шкале от 0 до 20.</w:t>
      </w:r>
    </w:p>
    <w:p>
      <w:pPr>
        <w:pStyle w:val="BodyText"/>
        <w:jc w:val="both"/>
      </w:pPr>
      <w:r>
        <w:t xml:space="preserve">Для решения задачи используется тот же набор данных Student Performance (student-por.csv) из репозитория UCI, что и в разделе 2.1. Набор содержит 649 записей и 33 исходных признака, включая целевую переменную G3. Из числа признаков в модель не включались famrel (семейные отношения) и G2 (вторая промежуточная оценка) — они были исключены по результатам корреляционного анализа для снижения избыточности и мультиколлинеарности между входными переменными.</w:t>
      </w:r>
    </w:p>
    <w:p>
      <w:pPr>
        <w:pStyle w:val="BodyText"/>
        <w:jc w:val="both"/>
      </w:pPr>
      <w:r>
        <w:rPr>
          <w:b/>
          <w:bCs/>
        </w:rPr>
        <w:t xml:space="preserve">Описание решения задачи</w:t>
      </w:r>
    </w:p>
    <w:p>
      <w:pPr>
        <w:pStyle w:val="BodyText"/>
        <w:jc w:val="both"/>
      </w:pPr>
      <w:r>
        <w:t xml:space="preserve">Общая схема решения задачи прогнозирования итоговой оценки включает следующие этапы: загрузка и предварительная обработка данных, кодирование категориальных признаков, разделение данных на обучающую и тестовую выборки, нормализация числовых признаков, обучение модели линейной регрессии методом стохастического градиентного спуска, постобработка данных, оценка качества модели и сохранение результатов.</w:t>
      </w:r>
      <w:r>
        <w:rPr/>
        <w:t xml:space="preserve"> Поток работ в KNIME представлен на рисунке 2.</w:t>
      </w:r>
    </w:p>
    <w:p>
      <w:pPr>
        <w:pStyle w:val="BodyText"/>
        <w:spacing w:line="240" w:lineRule="auto" w:after="0"/>
        <w:ind w:firstLine="0"/>
        <w:jc w:val="center"/>
      </w:pPr>
      <w:r>
        <w:drawing>
          <wp:inline>
            <wp:extent cx="5760000" cy="2173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2.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3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line="240" w:lineRule="auto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2. Поток работ для решения задачи регрессии</w:t>
      </w:r>
    </w:p>
    <w:p>
      <w:pPr>
        <w:pStyle w:val="BodyText"/>
        <w:jc w:val="both"/>
      </w:pPr>
      <w:r>
        <w:t xml:space="preserve">Узел CSV Reader осуществляет загрузку данных из файла student-por.csv с разделителем «;». Узел Linear Correlation и Heatmap выполняют повторный корреляционный анализ по 16 числовым признакам для проверки связей с целевой переменной G3 перед построением модели.</w:t>
      </w:r>
    </w:p>
    <w:p>
      <w:pPr>
        <w:pStyle w:val="BodyText"/>
        <w:jc w:val="both"/>
      </w:pPr>
      <w:r>
        <w:t xml:space="preserve">Узел Column Filter исключает из набора признаки famrel и G2, выявленные как избыточные на этапе анализа корреляций. Узел One to Many выполняет one-hot encoding (бинарное кодирование) оставшихся категориальных признаков, заменяя каждое значение на отдельный бинарный столбец.</w:t>
      </w:r>
    </w:p>
    <w:p>
      <w:pPr>
        <w:pStyle w:val="BodyText"/>
        <w:jc w:val="both"/>
      </w:pPr>
      <w:r>
        <w:t xml:space="preserve">Узел Table Partitioner выполняет разделение данных на обучающую (80%) и тестовую (20%) выборки. В настройках задан параметр Relative со значением 80%, способ разбиения — случайный (RANDOM) с фиксированным seed для воспроизводимости результата.</w:t>
      </w:r>
    </w:p>
    <w:p>
      <w:pPr>
        <w:pStyle w:val="BodyText"/>
        <w:jc w:val="both"/>
      </w:pPr>
      <w:r>
        <w:t xml:space="preserve">Узлы Normalizer и Normalizer (Apply) выполняют нормализацию числовых признаков методом Min-Max, приводя значения к диапазону [0, 1]. Параметры нормализации вычисляются на обучающей выборке и применяются к тестовой, что предотвращает утечку данных между выборками.</w:t>
      </w:r>
    </w:p>
    <w:p>
      <w:pPr>
        <w:pStyle w:val="BodyText"/>
        <w:jc w:val="both"/>
      </w:pPr>
      <w:r>
        <w:t xml:space="preserve">Узел SGD (3.7) выполняет обучение модели линейной регрессии методом стохастического градиентного спуска. В настройках заданы следующие гиперпараметры: функция потерь squared loss (значение параметра F равно 2, что соответствует регрессии), скорость обучения (learning rate) 0.01, параметр регуляризации (ridge) 1.0E-4, число эпох обучения — 100, целевая переменная — G3.</w:t>
      </w:r>
    </w:p>
    <w:p>
      <w:pPr>
        <w:pStyle w:val="BodyText"/>
        <w:jc w:val="both"/>
      </w:pPr>
      <w:r>
        <w:t xml:space="preserve">Узел Weka Predictor (3.7) применяет обученную модель к тестовой выборке и вычисляет предсказанные значения итоговой оценки. Узлы Column Filter, Column Renamer и Denormalizer выполняют обратное преобразование предсказанных значений из нормализованного диапазона в исходную шкалу оценок. Узел Joiner объединяет исходную тестовую выборку с предсказанными значениями по идентификатору записи для последующего сопоставления реальных и предсказанных оценок.</w:t>
      </w:r>
    </w:p>
    <w:p>
      <w:pPr>
        <w:pStyle w:val="BodyText"/>
        <w:jc w:val="both"/>
      </w:pPr>
      <w:r>
        <w:t xml:space="preserve">Узел Numeric Scorer вычисляет метрики качества модели на тестовой выборке, узел Table View отображает их в табличном виде. Узел CSV Writer сохраняет итоговую таблицу с исходными признаками, реальными и предсказанными значениями в файл student_por_result.csv.</w:t>
      </w:r>
    </w:p>
    <w:p>
      <w:pPr>
        <w:pStyle w:val="BodyText"/>
        <w:jc w:val="both"/>
      </w:pPr>
      <w:r>
        <w:rPr>
          <w:b/>
          <w:bCs/>
        </w:rPr>
        <w:t xml:space="preserve">Описание полученных результатов</w:t>
      </w:r>
    </w:p>
    <w:p>
      <w:pPr>
        <w:pStyle w:val="BodyText"/>
        <w:jc w:val="both"/>
      </w:pPr>
      <w:r>
        <w:t xml:space="preserve">Метрики точности модели линейной регрессии, вычисленные узлом Numeric Scorer на тестовой выборке, составили: средняя абсолютная ошибка (MAE) — 1.239, среднеквадратическая ошибка (RMSE) — 1.639, средняя квадратическая ошибка (MSE) — 2.685, коэффициент детерминации R² — 0.614.</w:t>
      </w:r>
      <w:r>
        <w:rPr/>
        <w:t xml:space="preserve"> Метрики модели, отображённые узлом Table View, представлены на рисунке 3.</w:t>
      </w:r>
    </w:p>
    <w:p>
      <w:pPr>
        <w:pStyle w:val="BodyText"/>
        <w:spacing w:line="240" w:lineRule="auto" w:after="0"/>
        <w:ind w:firstLine="0"/>
        <w:jc w:val="center"/>
      </w:pPr>
      <w:r>
        <w:drawing>
          <wp:inline>
            <wp:extent cx="2880000" cy="2289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2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8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line="240" w:lineRule="auto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3. Метрики точности модели линейной регрессии</w:t>
      </w:r>
    </w:p>
    <w:p>
      <w:pPr>
        <w:pStyle w:val="BodyText"/>
        <w:jc w:val="both"/>
      </w:pPr>
      <w:r>
        <w:t xml:space="preserve">Средняя абсолютная ошибка 1.239 означает, что в среднем прогноз модели отклоняется от реальной итоговой оценки чуть больше чем на один балл по шкале от 0 до 20, что для задачи прогнозирования оценки можно считать приемлемым результатом. Значение R² на уровне 0.614 показывает, что модель объясняет свыше 60% дисперсии итоговой оценки на основе доступных признаков — оставшаяся часть вариации связана с факторами, не отражёнными в наборе данных (например, индивидуальная мотивация или качество подготовки к конкретным экзаменам). Фрагмент результатов, сохранённых в CSV-файле, содержит для каждой записи из тестовой выборки исходные признаки, реальную оценку G3 и предсказанное значение — сравнение показывает, что для большинства учащихся отклонение предсказания от факта не превышает 2–3 баллов, а для отдельных записей ошибка выше, что объясняет разницу между MAE и RMSE. Дальнейшее повышение точности модели может быть связано с добавлением дополнительных учебных признаков или использованием более сложных алгоритмов регрессии.</w:t>
      </w:r>
    </w:p>
    <w:bookmarkEnd w:id="17"/>
    <w:bookmarkStart w:id="18" w:name="задача-поиска-шаблонов"/>
    <w:p>
      <w:pPr>
        <w:pStyle w:val="Heading3"/>
        <w:jc w:val="left"/>
      </w:pPr>
      <w:r>
        <w:t xml:space="preserve">2.3. Задача поиска шаблонов</w:t>
      </w:r>
    </w:p>
    <w:p>
      <w:pPr>
        <w:pStyle w:val="FirstParagraph"/>
        <w:jc w:val="both"/>
      </w:pPr>
      <w:r>
        <w:rPr>
          <w:b/>
          <w:bCs/>
        </w:rPr>
        <w:t xml:space="preserve">Постановка задачи и описание данных</w:t>
      </w:r>
    </w:p>
    <w:p>
      <w:pPr>
        <w:pStyle w:val="BodyText"/>
        <w:jc w:val="both"/>
      </w:pPr>
      <w:r>
        <w:t xml:space="preserve">В рамках данной работы решается задача поиска частых наборов товаров и построения ассоциативных правил в данных о покупках. Цель работы состоит в выявлении устойчивых сочетаний товаров, которые покупатели чаще всего приобретают вместе. Задача является актуальной для розничной торговли, поскольку понимание совместных покупок позволяет выстраивать более эффективную выкладку товаров, формировать персональные рекомендации и продуманные акции. Предметная область — розничная торговля продуктами питания. Практическая значимость заключается в том, что результаты анализа могут использоваться маркетологами и владельцами магазинов для повышения среднего чека и улучшения расположения товаров в торговом зале. Входными данными являются транзакции — списки товаров, купленных за одно посещение, выходными — частые наборы товаров и ассоциативные правила вида «если куплен товар A, то с высокой вероятностью куплен и товар B».</w:t>
      </w:r>
    </w:p>
    <w:p>
      <w:pPr>
        <w:pStyle w:val="BodyText"/>
        <w:jc w:val="both"/>
      </w:pPr>
      <w:r>
        <w:t xml:space="preserve">Для решения задачи использовался набор данных Market Basket Optimisation с площадки Kaggle (файл Market_Basket_Optimisation.csv). Набор содержит 7501 транзакцию без заголовка столбцов, где каждая строка представляет собой список товаров, купленных одним покупателем за одно посещение магазина. Число товаров в транзакции варьируется, поэтому структура данных представлена в виде таблицы с переменным числом заполненных столбцов на строку.</w:t>
      </w:r>
    </w:p>
    <w:p>
      <w:pPr>
        <w:pStyle w:val="BodyText"/>
        <w:jc w:val="both"/>
      </w:pPr>
      <w:r>
        <w:rPr>
          <w:b/>
          <w:bCs/>
        </w:rPr>
        <w:t xml:space="preserve">Описание решения задачи</w:t>
      </w:r>
    </w:p>
    <w:p>
      <w:pPr>
        <w:pStyle w:val="BodyText"/>
        <w:jc w:val="both"/>
      </w:pPr>
      <w:r>
        <w:t xml:space="preserve">Общая схема решения включает загрузку транзакционных данных, статистический анализ, преобразование строк в формат коллекции товаров, применение алгоритма поиска частых наборов и построение ассоциативных правил, а также отдельное исследование влияния параметров support и confidence на результат.</w:t>
      </w:r>
      <w:r>
        <w:rPr/>
        <w:t xml:space="preserve"> Поток работ в KNIME представлен на рисунке 4.</w:t>
      </w:r>
    </w:p>
    <w:p>
      <w:pPr>
        <w:pStyle w:val="BodyText"/>
        <w:spacing w:line="240" w:lineRule="auto" w:after="0"/>
        <w:ind w:firstLine="0"/>
        <w:jc w:val="center"/>
      </w:pPr>
      <w:r>
        <w:drawing>
          <wp:inline>
            <wp:extent cx="5040000" cy="3403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2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line="240" w:lineRule="auto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4. Поток работ для решения задачи поиска шаблонов</w:t>
      </w:r>
    </w:p>
    <w:p>
      <w:pPr>
        <w:pStyle w:val="BodyText"/>
        <w:jc w:val="both"/>
      </w:pPr>
      <w:r>
        <w:t xml:space="preserve">Узел CSV Reader осуществляет загрузку данных из файла Market_Basket_Optimisation.csv без заголовка столбцов, разделитель — запятая. Узел Statistics View выполняет первичный анализ данных. Узел Column Aggregator объединяет отдельные столбцы товаров одной транзакции в единую коллекцию (список), что требуется для последующей работы алгоритма поиска частых наборов.</w:t>
      </w:r>
    </w:p>
    <w:p>
      <w:pPr>
        <w:pStyle w:val="BodyText"/>
        <w:jc w:val="both"/>
      </w:pPr>
      <w:r>
        <w:t xml:space="preserve">Основной путь решения включает узел Association Rule Learner, настроенный на транзакционный столбец Basket, с минимальной поддержкой (MIN_SUPPORT) 0.03 и типом искомых наборов CLOSED. Первый запуск узла выполнен с отключённым построением ассоциативных правил (ASSOCIATION_RULES = false) — только с поиском частых наборов товаров. Второй запуск того же узла с идентичным значением поддержки 0.03 выполнен с включённым построением правил (ASSOCIATION_RULES = true) и минимальной достоверностью (CONFIDENCE) 0.7.</w:t>
      </w:r>
    </w:p>
    <w:p>
      <w:pPr>
        <w:pStyle w:val="BodyText"/>
        <w:jc w:val="both"/>
      </w:pPr>
      <w:r>
        <w:t xml:space="preserve">Узлы Table View отображают полученные наборы и правила, узлы Split Collection Column разбивают коллекции товаров обратно на отдельные столбцы для удобства чтения, узлы CSV Writer сохраняют результаты в файлы market_basket_optimisation_sets.csv (частые наборы) и market_basket_optimisation_rules.csv (ассоциативные правила).</w:t>
      </w:r>
    </w:p>
    <w:p>
      <w:pPr>
        <w:pStyle w:val="BodyText"/>
        <w:jc w:val="both"/>
      </w:pPr>
      <w:r>
        <w:t xml:space="preserve">Отдельно был реализован эксперимент по исследованию влияния параметров на результат поиска: узлы Interval Loop Start организуют перебор значений минимальной поддержки в диапазоне от 0.03 до 0.05 с шагом 0.01, а также перебор значений достоверности в диапазоне от 0.5 до 0.9 с шагом 0.2. Внутри цикла узел Association Rule Learner выполняется повторно с каждым значением параметра, узел Row Aggregator собирает статистику по числу найденных правил на каждой итерации, узел Loop End завершает цикл, а Line Plot должен визуализировать зависимость числа правил от значения параметра. Этот эксперимент не был доведён до выполнения — узлы цикла остались в состоянии конфигурации без запуска, поскольку при более мягких ограничениях (низкая минимальная поддержка) число потенциальных наборов резко возрастает, и перебор всех комбинаций занимает значительное время.</w:t>
      </w:r>
    </w:p>
    <w:p>
      <w:pPr>
        <w:pStyle w:val="BodyText"/>
        <w:jc w:val="both"/>
      </w:pPr>
      <w:r>
        <w:rPr>
          <w:b/>
          <w:bCs/>
        </w:rPr>
        <w:t xml:space="preserve">Описание полученных результатов</w:t>
      </w:r>
    </w:p>
    <w:p>
      <w:pPr>
        <w:pStyle w:val="BodyText"/>
        <w:jc w:val="both"/>
      </w:pPr>
      <w:r>
        <w:t xml:space="preserve">По результатам поиска частых наборов с минимальной поддержкой 0.03 было найдено 79 частых наборов товаров. Среди самых частых сочетаний — пары «avocado» и «green tea», «avocado» и «mineral water», «yams» и «mineral water», «mineral water» и «cottage cheese», каждая с поддержкой 0.04, что означает присутствие данного сочетания в 4% всех транзакций.</w:t>
      </w:r>
    </w:p>
    <w:p>
      <w:pPr>
        <w:pStyle w:val="BodyText"/>
        <w:jc w:val="both"/>
      </w:pPr>
      <w:r>
        <w:t xml:space="preserve">Построение ассоциативных правил с той же минимальной поддержкой и достоверностью 0.7 дало 98 правил. Товар «mineral water» (минеральная вода) чаще всего оказывается на стороне следствия правил — например, из наличия в корзине товаров «yams» или «cottage cheese» с достоверностью 1.0 и мерой lift 3.125 следует покупка минеральной воды. Такое значение lift выше единицы говорит о том, что связь между товарами не случайна и покупка одного действительно повышает вероятность покупки другого. Среди правил также встречаются связки товаров «avocado» и «shrimp» с достоверностью 1.0 и высоким значением lift (12.5), что указывает на выраженную привычку покупателей приобретать эти товары совместно. В целом высокая частота появления минеральной воды в частых наборах и правилах указывает на то, что этот товар выступает базовым элементом многих покупок, независимо от остального состава корзины.</w:t>
      </w:r>
    </w:p>
    <w:bookmarkEnd w:id="18"/>
    <w:bookmarkStart w:id="19" w:name="задача-классификации"/>
    <w:p>
      <w:pPr>
        <w:pStyle w:val="Heading3"/>
        <w:jc w:val="left"/>
      </w:pPr>
      <w:r>
        <w:t xml:space="preserve">2.4. Задача классификации</w:t>
      </w:r>
    </w:p>
    <w:p>
      <w:pPr>
        <w:pStyle w:val="FirstParagraph"/>
        <w:jc w:val="both"/>
      </w:pPr>
      <w:r>
        <w:rPr>
          <w:b/>
          <w:bCs/>
        </w:rPr>
        <w:t xml:space="preserve">Постановка задачи и описание данных</w:t>
      </w:r>
    </w:p>
    <w:p>
      <w:pPr>
        <w:pStyle w:val="BodyText"/>
        <w:jc w:val="both"/>
      </w:pPr>
      <w:r>
        <w:t xml:space="preserve">В рамках данной работы решается задача классификации пассажиров по признаку выживания на основе их индивидуальных характеристик. Цель работы состоит в построении модели, которая по известным данным о пассажире (класс каюты, пол, возраст, число родственников на борту, стоимость билета и порт отправления) прогнозирует, выжил ли пассажир. Задача является учебной иллюстрацией применения классификации на исторических данных, но по своей структуре аналогична прикладным задачам оценки риска в страховании, медицине и других сферах. Предметная область — анализ выживаемости на основе демографических и социальных характеристик. Практическая значимость задачи такого типа заключается в демонстрации того, как совокупность признаков (пол, возраст, социальный класс) может быть связана с исходом события, что применимо к широкому классу задач оценки риска. Входными данными являются признаки пассажира, выходными — бинарная метка выживания («Yes» или «No»).</w:t>
      </w:r>
    </w:p>
    <w:p>
      <w:pPr>
        <w:pStyle w:val="BodyText"/>
        <w:jc w:val="both"/>
      </w:pPr>
      <w:r>
        <w:t xml:space="preserve">Для решения задачи использовался набор данных Titanic с площадки Kaggle (файл train.csv). Набор содержит 891 запись о пассажирах и включает целевую переменную Survived (0 — не выжил, 1 — выжил), а также признаки Pclass (класс каюты), Sex (пол), Age (возраст), SibSp (число супругов/братьев и сестёр на борту), Parch (число родителей/детей на борту), Fare (стоимость билета) и Embarked (порт отправления). Из анализа были исключены признаки PassengerId, Name, Ticket и Cabin как не несущие прогностической ценности в исходном виде.</w:t>
      </w:r>
    </w:p>
    <w:p>
      <w:pPr>
        <w:pStyle w:val="BodyText"/>
        <w:jc w:val="both"/>
      </w:pPr>
      <w:r>
        <w:rPr>
          <w:b/>
          <w:bCs/>
        </w:rPr>
        <w:t xml:space="preserve">Описание решения задачи</w:t>
      </w:r>
    </w:p>
    <w:p>
      <w:pPr>
        <w:pStyle w:val="BodyText"/>
        <w:jc w:val="both"/>
      </w:pPr>
      <w:r>
        <w:t xml:space="preserve">Общая схема решения включает загрузку данных, удаление записей с пропущенным возрастом, удаление дублирующихся строк, исключение неинформативных признаков, разбиение на обучающую и тестовую выборки, обучение дерева решений, применение модели к тестовой выборке и оценку качества классификации.</w:t>
      </w:r>
      <w:r>
        <w:rPr/>
        <w:t xml:space="preserve"> Поток работ в KNIME представлен на рисунке 5.</w:t>
      </w:r>
    </w:p>
    <w:p>
      <w:pPr>
        <w:pStyle w:val="BodyText"/>
        <w:spacing w:line="240" w:lineRule="auto" w:after="0"/>
        <w:ind w:firstLine="0"/>
        <w:jc w:val="center"/>
      </w:pPr>
      <w:r>
        <w:drawing>
          <wp:inline>
            <wp:extent cx="5760000" cy="2115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2.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5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line="240" w:lineRule="auto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5. Поток работ для решения задачи классификации</w:t>
      </w:r>
    </w:p>
    <w:p>
      <w:pPr>
        <w:pStyle w:val="BodyText"/>
        <w:jc w:val="both"/>
      </w:pPr>
      <w:r>
        <w:t xml:space="preserve">Узел CSV Reader загружает данные из файла train.csv. Узел Row Filter удаляет записи, в которых отсутствует значение признака Age — это необходимо, поскольку дерево решений не может корректно работать с пропущенными числовыми значениями без дополнительной обработки. Узел Duplicate Row Filter удаляет полностью совпадающие строки. Узел Column Filter исключает из набора признаки PassengerId, Name, Ticket и Cabin.</w:t>
      </w:r>
    </w:p>
    <w:p>
      <w:pPr>
        <w:pStyle w:val="BodyText"/>
        <w:jc w:val="both"/>
      </w:pPr>
      <w:r>
        <w:t xml:space="preserve">Узел Rule Engine создаёт вспомогательный признак prediction на основе значения Survived для последующего сопоставления с прогнозом модели: значению 1 присваивается метка «Yes», значению 0 — «No».</w:t>
      </w:r>
    </w:p>
    <w:p>
      <w:pPr>
        <w:pStyle w:val="BodyText"/>
        <w:jc w:val="both"/>
      </w:pPr>
      <w:r>
        <w:t xml:space="preserve">Узел Table Partitioner разбивает данные на обучающую (70%) и тестовую (30%) выборки случайным способом с фиксированным seed для воспроизводимости. Узел Decision Tree Learner обучает дерево решений с целевой переменной Survived, критерием разбиения Gini index и методом отсечения ветвей MDL, минимальным числом записей в узле — 2.</w:t>
      </w:r>
    </w:p>
    <w:p>
      <w:pPr>
        <w:pStyle w:val="BodyText"/>
        <w:jc w:val="both"/>
      </w:pPr>
      <w:r>
        <w:t xml:space="preserve">Узел Decision Tree Predictor применяет обученное дерево к тестовой выборке и вычисляет предсказанные значения. Узел Decision Tree View отображает визуальную структуру построенного дерева решений. Узел Scorer сопоставляет реальные и предсказанные значения и строит матрицу ошибок, узел Table View отображает результаты сопоставления, узел CSV Writer сохраняет итоговую таблицу с прогнозами в файл titanic_results.csv.</w:t>
      </w:r>
    </w:p>
    <w:p>
      <w:pPr>
        <w:pStyle w:val="BodyText"/>
        <w:jc w:val="both"/>
      </w:pPr>
      <w:r>
        <w:rPr>
          <w:b/>
          <w:bCs/>
        </w:rPr>
        <w:t xml:space="preserve">Описание полученных результатов</w:t>
      </w:r>
    </w:p>
    <w:p>
      <w:pPr>
        <w:pStyle w:val="BodyText"/>
        <w:jc w:val="both"/>
      </w:pPr>
      <w:r>
        <w:t xml:space="preserve">После удаления записей с пропущенным возрастом и дублей тестовая выборка составила 214 записей. Сопоставление реальных и предсказанных значений выживания по сохранённым результатам дает следующие метрики: accuracy (доля правильных предсказаний) — 0.799, precision (точность для класса «выжил») — 0.887, recall (полнота для класса «выжил») — 0.560, F1-мера — 0.686.</w:t>
      </w:r>
    </w:p>
    <w:p>
      <w:pPr>
        <w:pStyle w:val="BodyText"/>
        <w:jc w:val="both"/>
      </w:pPr>
      <w:r>
        <w:t xml:space="preserve">Полученная точность на уровне 79.9% говорит о том, что построенное дерево решений улавливает основные закономерности в данных, связанные, прежде всего, с полом и классом каюты пассажира — известные исторические данные показывают, что женщины и пассажиры первого класса имели существенно больше шансов на спасение. Разница между высокой точностью (precision 0.887) и более низкой полнотой (recall 0.560) означает, что модель довольно консервативна в предсказании выживания: она редко ошибочно относит невыжившего пассажира к выжившим, но при этом упускает часть реально выживших пассажиров, относя их к погибшим. Это отражается и в F1-мере на уровне 0.686 — сбалансированной оценке между точностью и полнотой. Для повышения полноты модели может помочь балансировка классов или использование ансамблевых методов вместо одного дерева решений.</w:t>
      </w:r>
    </w:p>
    <w:bookmarkEnd w:id="19"/>
    <w:bookmarkStart w:id="20" w:name="задача-кластеризации"/>
    <w:p>
      <w:pPr>
        <w:pStyle w:val="Heading3"/>
        <w:jc w:val="left"/>
      </w:pPr>
      <w:r>
        <w:t xml:space="preserve">2.5. Задача кластеризации</w:t>
      </w:r>
    </w:p>
    <w:p>
      <w:pPr>
        <w:pStyle w:val="FirstParagraph"/>
        <w:jc w:val="both"/>
      </w:pPr>
      <w:r>
        <w:rPr>
          <w:b/>
          <w:bCs/>
        </w:rPr>
        <w:t xml:space="preserve">Постановка задачи и описание данных</w:t>
      </w:r>
    </w:p>
    <w:p>
      <w:pPr>
        <w:pStyle w:val="BodyText"/>
        <w:jc w:val="both"/>
      </w:pPr>
      <w:r>
        <w:t xml:space="preserve">В рамках данной работы решается задача сегментации покупателей интернет-магазина на группы со схожим покупательским поведением. Цель работы состоит в выделении устойчивых кластеров клиентов на основе показателей их активности, суммарных трат и давности последней покупки. Задача является актуальной для розничной онлайн-торговли, поскольку сегментация клиентской базы позволяет выстраивать дифференцированные маркетинговые стратегии для разных групп покупателей. Предметная область — анализ поведения клиентов в электронной коммерции. Практическая значимость заключается в том, что результаты кластеризации могут использоваться отделом маркетинга для персонализации предложений: удержания уходящих клиентов, стимулирования редких покупателей и удержания лояльности постоянных клиентов. Входными данными являются агрегированные по каждому клиенту показатели покупательской активности, выходными — метка кластера, к которому отнесён клиент.</w:t>
      </w:r>
    </w:p>
    <w:p>
      <w:pPr>
        <w:pStyle w:val="BodyText"/>
        <w:jc w:val="both"/>
      </w:pPr>
      <w:r>
        <w:t xml:space="preserve">Для решения задачи использовался набор данных Online Retail II (файл online_retail_II.csv), содержащий более 1 миллиона строк с отдельными позициями заказов интернет-магазина за период 2009–2011 годов: номер счёта, код и описание товара, количество, дата заказа, цена, идентификатор клиента и страна. На основе этих построчных данных были агрегированы по каждому клиенту четыре производных признака: число транзакций (num_transactions), суммарная сумма покупок (money_spent), число уникальных приобретённых товаров (num_unique_items) и давность последней покупки в днях (recency). После агрегации и удаления выбросов итоговый набор для кластеризации составил 5272 клиента.</w:t>
      </w:r>
    </w:p>
    <w:p>
      <w:pPr>
        <w:pStyle w:val="BodyText"/>
        <w:jc w:val="both"/>
      </w:pPr>
      <w:r>
        <w:rPr>
          <w:b/>
          <w:bCs/>
        </w:rPr>
        <w:t xml:space="preserve">Описание решения задачи</w:t>
      </w:r>
    </w:p>
    <w:p>
      <w:pPr>
        <w:pStyle w:val="BodyText"/>
        <w:jc w:val="both"/>
      </w:pPr>
      <w:r>
        <w:t xml:space="preserve">Общая схема решения включает загрузку построчных данных о заказах, вычисление суммы покупки по каждой позиции, агрегацию по клиенту, вычисление давности последней покупки, удаление выбросов, нормализацию признаков, кластеризацию методом k-средних, подбор числа кластеров и интерпретацию полученных групп.</w:t>
      </w:r>
      <w:r>
        <w:rPr/>
        <w:t xml:space="preserve"> Поток работ в KNIME представлен на рисунке 6.</w:t>
      </w:r>
    </w:p>
    <w:p>
      <w:pPr>
        <w:pStyle w:val="BodyText"/>
        <w:spacing w:line="240" w:lineRule="auto" w:after="0"/>
        <w:ind w:firstLine="0"/>
        <w:jc w:val="center"/>
      </w:pPr>
      <w:r>
        <w:drawing>
          <wp:inline>
            <wp:extent cx="5760000" cy="16950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2.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line="240" w:lineRule="auto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6. Поток работ для решения задачи кластеризации</w:t>
      </w:r>
    </w:p>
    <w:p>
      <w:pPr>
        <w:pStyle w:val="BodyText"/>
        <w:jc w:val="both"/>
      </w:pPr>
      <w:r>
        <w:t xml:space="preserve">Узел CSV Reader загружает построчные данные заказов. Узел Row Filter удаляет строки с некорректными или отсутствующими значениями. Узел Math Formula вычисляет сумму покупки по каждой позиции заказа как произведение количества и цены товара. Узел GroupBy агрегирует данные по идентификатору клиента, вычисляя число транзакций, суммарную сумму покупок и число уникальных товаров. Узлы Column Renamer, String to Date&amp;Time и Date&amp;Time Difference преобразуют дату последней покупки клиента в число дней, прошедших с этой даты до конца анализируемого периода (признак recency).</w:t>
      </w:r>
    </w:p>
    <w:p>
      <w:pPr>
        <w:pStyle w:val="BodyText"/>
        <w:jc w:val="both"/>
      </w:pPr>
      <w:r>
        <w:t xml:space="preserve">Узел Numeric Outliers выявляет и удаляет выбросы по признаку money_spent (суммарные траты), поскольку среди клиентов интернет-магазина встречаются оптовые покупатели с аномально большими суммами закупок, искажающими последующую кластеризацию. Узел Normalizer выполняет стандартизацию всех четырёх признаков (num_transactions, money_spent, num_unique_items, recency) методом Z-score, приводя их к единому масштабу с нулевым средним и единичной дисперсией — это необходимо, поскольку признаки измеряются в разных единицах и диапазонах.</w:t>
      </w:r>
    </w:p>
    <w:p>
      <w:pPr>
        <w:pStyle w:val="BodyText"/>
        <w:jc w:val="both"/>
      </w:pPr>
      <w:r>
        <w:t xml:space="preserve">Аналогично работе с поиском шаблонов, для подбора оптимального числа кластеров был реализован цикл: узел Interval Loop Start перебирает число кластеров, узел k-Means обучается на каждой итерации, а узел Joiner должен был объединять результаты для построения графика зависимости качества кластеризации от числа кластеров методом локтя. Данный экспериментальный путь также остался в состоянии конфигурации без завершённого выполнения.</w:t>
      </w:r>
    </w:p>
    <w:p>
      <w:pPr>
        <w:pStyle w:val="BodyText"/>
        <w:jc w:val="both"/>
      </w:pPr>
      <w:r>
        <w:t xml:space="preserve">Финальная кластеризация выполнена отдельным узлом k-Means с числом кластеров, равным 4, и фиксированным начальным приближением (random seed 0) для воспроизводимости результата. Узел Denormalizer возвращает координаты центров кластеров и значения признаков к исходному масштабу для интерпретации. Узлы GroupBy и Column Expressions вычисляют средние значения признаков по каждому кластеру, узел Box Plot визуализирует распределение признаков внутри кластеров, узел CSV Writer сохраняет итоговую таблицу с меткой кластера для каждого клиента в файл online_retail_results.csv.</w:t>
      </w:r>
    </w:p>
    <w:p>
      <w:pPr>
        <w:pStyle w:val="BodyText"/>
        <w:jc w:val="both"/>
      </w:pPr>
      <w:r>
        <w:rPr>
          <w:b/>
          <w:bCs/>
        </w:rPr>
        <w:t xml:space="preserve">Описание полученных результатов</w:t>
      </w:r>
    </w:p>
    <w:p>
      <w:pPr>
        <w:pStyle w:val="BodyText"/>
        <w:jc w:val="both"/>
      </w:pPr>
      <w:r>
        <w:t xml:space="preserve">По результатам кластеризации 5272 клиента были распределены по 4 кластерам со следующими характеристиками: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792000"/>
        <w:gridCol w:w="864000"/>
        <w:gridCol w:w="936000"/>
        <w:gridCol w:w="936000"/>
        <w:gridCol w:w="1007999"/>
        <w:gridCol w:w="864000"/>
      </w:tblGrid>
      <w:tr>
        <w:trPr>
          <w:tblHeader w:val="on"/>
        </w:trPr>
        <w:tc>
          <w:tcPr>
            <w:tcW w:type="dxa" w:w="792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Кластер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Число клиентов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Среднее число транзакций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Средние траты</w:t>
            </w:r>
          </w:p>
        </w:tc>
        <w:tc>
          <w:tcPr>
            <w:tcW w:type="dxa" w:w="1007999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Среднее число уникальных товаров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Средняя давность (дни)</w:t>
            </w:r>
          </w:p>
        </w:tc>
      </w:tr>
      <w:tr>
        <w:tc>
          <w:tcPr>
            <w:tcW w:type="dxa" w:w="792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cluster_0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970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9.9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3205.6</w:t>
            </w:r>
          </w:p>
        </w:tc>
        <w:tc>
          <w:tcPr>
            <w:tcW w:type="dxa" w:w="1007999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161.8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90.2</w:t>
            </w:r>
          </w:p>
        </w:tc>
      </w:tr>
      <w:tr>
        <w:tc>
          <w:tcPr>
            <w:tcW w:type="dxa" w:w="792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cluster_1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2169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3.3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934.6</w:t>
            </w:r>
          </w:p>
        </w:tc>
        <w:tc>
          <w:tcPr>
            <w:tcW w:type="dxa" w:w="1007999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48.7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87.8</w:t>
            </w:r>
          </w:p>
        </w:tc>
      </w:tr>
      <w:tr>
        <w:tc>
          <w:tcPr>
            <w:tcW w:type="dxa" w:w="792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cluster_2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739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1.4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329.0</w:t>
            </w:r>
          </w:p>
        </w:tc>
        <w:tc>
          <w:tcPr>
            <w:tcW w:type="dxa" w:w="1007999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19.6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619.7</w:t>
            </w:r>
          </w:p>
        </w:tc>
      </w:tr>
      <w:tr>
        <w:tc>
          <w:tcPr>
            <w:tcW w:type="dxa" w:w="792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cluster_3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1394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2.2</w:t>
            </w:r>
          </w:p>
        </w:tc>
        <w:tc>
          <w:tcPr>
            <w:tcW w:type="dxa" w:w="936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661.4</w:t>
            </w:r>
          </w:p>
        </w:tc>
        <w:tc>
          <w:tcPr>
            <w:tcW w:type="dxa" w:w="1007999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35.9</w:t>
            </w:r>
          </w:p>
        </w:tc>
        <w:tc>
          <w:tcPr>
            <w:tcW w:type="dxa" w:w="864000"/>
          </w:tcPr>
          <w:p>
            <w:pPr>
              <w:pStyle w:val="Compact"/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375.7</w:t>
            </w:r>
          </w:p>
        </w:tc>
      </w:tr>
    </w:tbl>
    <w:p>
      <w:pPr>
        <w:pStyle w:val="BodyText"/>
        <w:jc w:val="both"/>
      </w:pPr>
      <w:r>
        <w:t xml:space="preserve">Кластер 0 представляет собой самую малочисленную, но наиболее ценную группу — клиентов с большим числом транзакций, высокими суммарными тратами и широким ассортиментом покупок при относительно недавней активности. Эту группу логично рассматривать как основных, лояльных покупателей интернет-магазина. Кластер 1 — крупнейшая группа со средней активностью и умеренными тратами, также с недавней покупательской активностью, что говорит о ядре обычных, регулярных клиентов. Кластер 2 выделяется резко возросшей давностью последней покупки (более 600 дней) при минимальном числе транзакций и трат — это группа клиентов, фактически прекративших покупки. Кластер 3 занимает промежуточное положение: умеренная активность и траты при значительной, но не критической давности последней покупки, что позволяет отнести эту группу к клиентам с риском ухода. Полученное разделение может служить основой для дифференцированных маркетинговых мер: удержания клиентов кластера 0, стимулирования повторных покупок в кластере 1, а также кампаний по возвращению для кластеров 2 и 3.</w:t>
      </w:r>
    </w:p>
    <w:bookmarkEnd w:id="20"/>
    <w:bookmarkStart w:id="21" w:name="выводы-по-второму-разделу"/>
    <w:p>
      <w:pPr>
        <w:pStyle w:val="Heading3"/>
        <w:jc w:val="left"/>
      </w:pPr>
      <w:r>
        <w:t xml:space="preserve">Выводы по второму разделу</w:t>
      </w:r>
    </w:p>
    <w:p>
      <w:pPr>
        <w:pStyle w:val="FirstParagraph"/>
        <w:jc w:val="both"/>
      </w:pPr>
      <w:r>
        <w:t xml:space="preserve">В рамках второго раздела в среде KNIME Analytics Platform были построены и проанализированы пять самостоятельных рабочих процессов, охватывающих основные задачи интеллектуального анализа данных: предобработку, регрессию, поиск ассоциативных правил, классификацию и кластеризацию.</w:t>
      </w:r>
    </w:p>
    <w:p>
      <w:pPr>
        <w:pStyle w:val="BodyText"/>
        <w:jc w:val="both"/>
      </w:pPr>
      <w:r>
        <w:t xml:space="preserve">На данных об учащихся было показано, как предобработка (удаление дублей, корреляционный анализ, кодирование категориальных признаков) готовит почву для дальнейшего моделирования, а построенная на этих же данных модель линейной регрессии позволила прогнозировать итоговую оценку с коэффициентом детерминации 0.614 и средней ошибкой около одного балла. На транзакционных данных о покупках был выполнен поиск частых наборов товаров и построение ассоциативных правил, выявивших устойчивые сочетания товаров с высокими значениями достоверности и меры lift, что демонстрирует практическую применимость такого анализа для розничной торговли. На данных о пассажирах Титаника дерево решений показало точность классификации 79.9% с выраженной асимметрией между точностью и полнотой предсказаний. Наконец, кластеризация клиентов интернет-магазина методом k-средних разделила покупательскую базу на четыре сегмента с явно различающимся профилем активности — от лояльных клиентов с высокими тратами до давно неактивных покупателей.</w:t>
      </w:r>
    </w:p>
    <w:p>
      <w:pPr>
        <w:pStyle w:val="BodyText"/>
        <w:jc w:val="both"/>
      </w:pPr>
      <w:r>
        <w:t xml:space="preserve">Во всех работах, где предусматривался эксперимент по подбору гиперпараметров через циклические конструкции (интервальные циклы для перебора значений поддержки и достоверности в задаче поиска шаблонов, перебор числа кластеров в задаче кластеризации), эти узлы остались в состоянии конфигурации без завершённого выполнения — вследствие этого итоговые результаты в обоих случаях получены на основе одного фиксированного набора параметров, подобранного вручную, а не по результатам автоматического перебора. Это не помешало получить содержательные и интерпретируемые результаты по каждой из пяти задач, однако указывает на потенциальное направление для дальнейшего уточнения моделей.</w:t>
      </w:r>
    </w:p>
    <w:p>
      <w:pPr>
        <w:pStyle w:val="BodyText"/>
        <w:jc w:val="both"/>
      </w:pPr>
      <w:r>
        <w:t xml:space="preserve">В целом выполненные работы охватывают все основные типы задач интеллектуального анализа данных — от обучения с учителем (регрессия, классификация) до обучения без учителя (кластеризация, поиск шаблонов) — и демонстрируют применение визуальной среды KNIME для построения полноценных аналитических конвейеров: от загрузки и очистки исходных данных до получения интерпретируемых метрик и визуализаций.</w:t>
      </w:r>
    </w:p>
    <w:bookmarkEnd w:id="21"/>
    <w:bookmarkEnd w:id="22"/>
    <w:bookmarkStart w:id="26" w:name="X20c27597a87d9dbb1519f0435690aadeaa99e76"/>
    <w:p>
      <w:pPr>
        <w:pStyle w:val="Heading2"/>
        <w:jc w:val="left"/>
      </w:pPr>
      <w:r>
        <w:t xml:space="preserve">3. ОСНОВЫ МОДЕЛИРОВАНИЯ И ВИЗУАЛИЗАЦИИ В BLENDER</w:t>
      </w:r>
    </w:p>
    <w:bookmarkStart w:id="23" w:name="постановка-задачи"/>
    <w:p>
      <w:pPr>
        <w:pStyle w:val="Heading3"/>
        <w:jc w:val="left"/>
      </w:pPr>
      <w:r>
        <w:t xml:space="preserve">3.1. Постановка задачи</w:t>
      </w:r>
    </w:p>
    <w:p>
      <w:pPr>
        <w:pStyle w:val="FirstParagraph"/>
        <w:jc w:val="both"/>
      </w:pPr>
      <w:r>
        <w:t xml:space="preserve">Второй этап практики, проходивший на базе Южно-Уральского государственного университета, был посвящён освоению трёхмерного моделирования и визуализации в программе Blender. В отличие от первого этапа, где основным инструментом являлась платформа KNIME для работы с табличными данными, здесь решались задачи создания и анимации трёхмерных объектов, настройки материалов и рендеринга итоговых сцен.</w:t>
      </w:r>
    </w:p>
    <w:p>
      <w:pPr>
        <w:pStyle w:val="BodyText"/>
        <w:jc w:val="both"/>
      </w:pPr>
      <w:r>
        <w:t xml:space="preserve">Целью этого этапа являлось формирование практических навыков работы с полигональным моделированием, материалами и шейдингом, анимацией на основе ключевых кадров и физических симуляций, а также программным управлением сценой через встроенный Python API (модуль bpy). В качестве сквозного объекта для всех пяти практических заданий использовалась модель кухонного блендера, которая последовательно дорабатывалась и усложнялась по мере прохождения тем.</w:t>
      </w:r>
    </w:p>
    <w:p>
      <w:pPr>
        <w:pStyle w:val="BodyText"/>
        <w:jc w:val="both"/>
      </w:pPr>
      <w:r>
        <w:t xml:space="preserve">В рамках этапа было выполнено пять практических работ, каждая из которых нацелена на отдельный аспект работы в Blender: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работа 1 — навигация в трёхмерном пространстве, создание и трансформация объектов, полигональное моделирование методом экструдирования;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работа 2 — назначение материалов на грани объекта и настройка узлов шейдеров (стекло, металл, чёрный пластик);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работа 3 — создание анимации на основе ключевых кадров и настройка физических свойств объектов (твёрдые тела, столкновения);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работа 4 — настройка рендеринга на движке Cycles с использованием вычислений на графическом процессоре и экспорт анимации в видеофайл;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работа 5 — программное управление сценой и физикой через Python API (bpy) на примере симуляции каскадного падения костяшек домино.</w:t>
      </w:r>
    </w:p>
    <w:p>
      <w:pPr>
        <w:pStyle w:val="FirstParagraph"/>
        <w:jc w:val="both"/>
      </w:pPr>
      <w:r>
        <w:t xml:space="preserve">Задания и их решения (файлы формата .blend) размещены в отдельной папке репозитория, используемого для хранения материалов практики.</w:t>
      </w:r>
    </w:p>
    <w:bookmarkEnd w:id="23"/>
    <w:bookmarkStart w:id="24" w:name="ход-выполнения-заданий"/>
    <w:p>
      <w:pPr>
        <w:pStyle w:val="Heading3"/>
        <w:jc w:val="left"/>
      </w:pPr>
      <w:r>
        <w:t xml:space="preserve">3.2. Ход выполнения заданий</w:t>
      </w:r>
    </w:p>
    <w:p>
      <w:pPr>
        <w:pStyle w:val="FirstParagraph"/>
        <w:jc w:val="both"/>
      </w:pPr>
      <w:r>
        <w:t xml:space="preserve">Первая практическая работа была посвящена базовым навыкам навигации и моделирования. Управление видом сцены осваивалось с помощью мыши (вращение, панорамирование, масштабирование), а перемещение объектов — с помощью клавиши G с фиксацией по осям X, Y и Z. Отдельное внимание уделялось переключению между объектным режимом (Object Mode) и режимом редактирования (Edit Mode) по клавише Tab, а также режимам выделения вершин, ребёр и граней (клавиши 1, 2 и 3 соответственно). Практическое задание заключалось в создании цилиндра с заданным числом вершин и его последовательном экструдировании граней по загруженному в сцену референсному изображению до тех пор, пока форма модели не начинала соответствовать силуэту блендера на фотографии; отдельно тем же способом создавалась ручка блендера, после чего оба объекта объединялись в один (сочетание Ctrl+J).</w:t>
      </w:r>
    </w:p>
    <w:p>
      <w:pPr>
        <w:pStyle w:val="BodyText"/>
        <w:jc w:val="both"/>
      </w:pPr>
      <w:r>
        <w:t xml:space="preserve">Вторая работа была посвящена материалам и шейдингу построенной модели. Объекту назначались три материала — «Железная основа», «Стекло» и «Чёрный», — которые затем распределялись по отдельным граням в режиме редактирования: стекло — на ёмкость и ручку, металл — на основание, чёрный материал — на крышку и прочие детали. Для материала стекла в рабочем пространстве «Шейдинг» настраивалась узловая схема из трёх шейдеров: BSDF стекла с коэффициентом преломления 1.0, диффузный BSDF с той же цветовой настройкой и параметром шероховатости 0.5, а также смешивающий шейдер (Mix Shader) с фактором смешивания 0.1, к которому оба предыдущих шейдера подключались в строго определённом порядке. Для материала металла задавались параметры металличности 0.8 и шероховатости 0.5, а для чёрного материала — соответствующий цвет без изменения прочих параметров.</w:t>
      </w:r>
    </w:p>
    <w:p>
      <w:pPr>
        <w:pStyle w:val="BodyText"/>
        <w:jc w:val="both"/>
      </w:pPr>
      <w:r>
        <w:t xml:space="preserve">Третья работа охватывала анимацию и физическое взаимодействие объектов. В модель добавлялись вращающиеся лезвия и подставка в виде заполненной окружности, для которых настраивались физические свойства твёрдого тела: окружность и корпус блендера получали пассивный тип (Passive), а лезвия — пассивный тип с дополнительным параметром «Анимированный». Анимация вращения лезвий создавалась двумя ключевыми кадрами — в начальном кадре и в кадре 240, где угол поворота задавался равным 20000 градусов, что обеспечивало эффект быстрого вращения. Отдельно создавался куб с активным типом твёрдого тела, который многократно дублировался внутри ёмкости блендера (сочетание Alt+D) для демонстрации физического взаимодействия падающих объектов с вращающимися лезвиями.</w:t>
      </w:r>
    </w:p>
    <w:p>
      <w:pPr>
        <w:pStyle w:val="BodyText"/>
        <w:jc w:val="both"/>
      </w:pPr>
      <w:r>
        <w:t xml:space="preserve">Четвёртая работа была направлена на настройку рендеринга и экспорт анимации. Для сцены, содержащей модель блендера с лезвиями и кубами, включались вычисления на графическом процессоре (GPU Compute) с выбором соответствующего API в зависимости от производителя видеокарты (OptiX или CUDA для NVIDIA, HIP для AMD, oneAPI для Intel Arc). В качестве движка рендеринга использовался Cycles с параметрами выборки 32–64 для финального рендера и 16 для видового экрана, включённым шумоподавлением и ограничением максимального числа отскоков лучей до 4–6 для сокращения времени вычислений. Экспорт анимации выполнялся в формате видео FFmpeg с контейнером MPEG-4 и кодеком H.264 при разрешении 1280×720 и диапазоне кадров от 1 до 240.</w:t>
      </w:r>
    </w:p>
    <w:p>
      <w:pPr>
        <w:pStyle w:val="BodyText"/>
        <w:jc w:val="both"/>
      </w:pPr>
      <w:r>
        <w:t xml:space="preserve">Пятая работа была посвящена программному управлению физикой сцены через Python API Blender. В редакторе скриптов (рабочее пространство Scripting) был написан и выполнен скрипт на языке Python, который программно создавал сцену с тридцатью костяшками домино, выстроенными в линию, плоскость-пол с пассивным твёрдым телом и объект-толкатель в форме сферы. Для каждой костяшки задавались параметры массы, трения, упругости и формы коллизии через свойство rigid_body, а толкателю через метод keyframe_insert назначались ключевые кадры перемещения, обеспечивающие начальный импульс, запускающий цепную реакцию падения. Рендеринг итоговой анимации выполнялся с использованием тех же параметров, что и в четвёртой работе, с диапазоном кадров от 1 до 250 и экспортом результата в видеофайл.</w:t>
      </w:r>
    </w:p>
    <w:p>
      <w:pPr>
        <w:pStyle w:val="BodyText"/>
        <w:jc w:val="both"/>
      </w:pPr>
      <w:r>
        <w:t xml:space="preserve">Подробное распределение времени по каждой из пяти работ и точная продолжительность университетского этапа в приложенных материалах не зафиксированы, поэтому эти организационные детали остаются [неизвестно].</w:t>
      </w:r>
    </w:p>
    <w:bookmarkEnd w:id="24"/>
    <w:bookmarkStart w:id="25" w:name="выводы-по-третьему-разделу"/>
    <w:p>
      <w:pPr>
        <w:pStyle w:val="Heading3"/>
        <w:jc w:val="left"/>
      </w:pPr>
      <w:r>
        <w:t xml:space="preserve">Выводы по третьему разделу</w:t>
      </w:r>
    </w:p>
    <w:p>
      <w:pPr>
        <w:pStyle w:val="FirstParagraph"/>
        <w:jc w:val="both"/>
      </w:pPr>
      <w:r>
        <w:t xml:space="preserve">В рамках третьего раздела было последовательно освоено пять ключевых направлений работы в Blender — от базовой навигации и полигонального моделирования до программного управления физикой сцены через Python API. Сквозным объектом для всех практических работ являлась модель кухонного блендера, которая усложнялась по мере прохождения тем: сначала была построена геометрия по референсному изображению, затем на неё были назначены материалы с настроенным шейдингом стекла и металла, далее модель была дополнена анимированными лезвиями и физической симуляцией падения объектов, после чего сцена была подготовлена к рендерингу на движке Cycles с использованием вычислений на графическом процессоре. Завершающая работа с использованием модуля bpy показала, что базовые принципы работы с твёрдыми телами и ключевыми кадрами, освоенные в интерфейсе Blender, переносятся и на программный уровень управления сценой, что расширяет возможности автоматизации построения сложных сцен с большим числом однотипных объектов.</w:t>
      </w:r>
    </w:p>
    <w:bookmarkEnd w:id="25"/>
    <w:bookmarkEnd w:id="26"/>
    <w:bookmarkStart w:id="27" w:name="заключение"/>
    <w:p>
      <w:pPr>
        <w:pStyle w:val="Heading2"/>
        <w:jc w:val="left"/>
      </w:pPr>
      <w:r>
        <w:t xml:space="preserve">ЗАКЛЮЧЕНИЕ</w:t>
      </w:r>
    </w:p>
    <w:p>
      <w:pPr>
        <w:pStyle w:val="FirstParagraph"/>
        <w:jc w:val="both"/>
      </w:pPr>
      <w:r>
        <w:t xml:space="preserve">В рамках учебной практики выполнена работа по закреплению теоретических знаний и практических навыков, полученных при изучении базовых дисциплин и дисциплин вариативной части учебного плана, а также по развитию навыков командной работы и решения прикладных задач на базе трека индустриального партнёра.</w:t>
      </w:r>
    </w:p>
    <w:p>
      <w:pPr>
        <w:pStyle w:val="BodyText"/>
        <w:jc w:val="both"/>
      </w:pPr>
      <w:r>
        <w:t xml:space="preserve">В ходе практики были получены следующие основные результаты: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освоены основы визуального анализа данных и машинного обучения в среде KNIME Analytics Platform, включая лекционный материал по машинному обучению, работе с агентами и локальными LLM, а также мастер-класс по анализу тональности отзывов;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самостоятельно решены пять аналитических задач в KNIME на собственных наборах данных — предобработка данных, регрессия, поиск ассоциативных правил, классификация и кластеризация, — с получением интерпретируемых метрик качества по каждой из них;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 командном формате выполнен проект «Fishing vision» в рамках 24-часового хакатона «Анимагия», проведённого по треку индустриального партнёра «Инновации детям», с личным исполнением роли тимлида команды;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освоены основы трёхмерного моделирования, материалов, анимации, физических симуляций и рендеринга в программе Blender, а также программное управление сценой через Python API;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результаты выполненных работ размещены в соответствующем репозитории, используемом для хранения материалов практики.</w:t>
      </w:r>
    </w:p>
    <w:p>
      <w:pPr>
        <w:pStyle w:val="FirstParagraph"/>
        <w:jc w:val="both"/>
      </w:pPr>
      <w:r>
        <w:t xml:space="preserve">Полученные в ходе практики навыки охватывают полный цикл работы с данными и визуальным контентом — от постановки задачи и подготовки данных до построения моделей, их интерпретации и наглядного представления результатов, — что соответствует заявленной цели практики.</w:t>
      </w:r>
    </w:p>
    <w:bookmarkEnd w:id="27"/>
    <w:bookmarkStart w:id="28" w:name="литература"/>
    <w:p>
      <w:pPr>
        <w:pStyle w:val="Heading2"/>
        <w:jc w:val="left"/>
      </w:pPr>
      <w:r>
        <w:t xml:space="preserve">ЛИТЕРАТУРА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KNIME Analytics Platform. URL: https://www.knime.com/knime-analytics-platform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Blender — a free and open-source 3D creation suite. URL: https://www.blender.org/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Blender Python API Documentation (bpy). URL: https://docs.blender.org/api/current/index.html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Student Performance Data Set (UCI Machine Learning Repository). URL: https://archive.ics.uci.edu/dataset/320/student+performance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Titanic — Machine Learning from Disaster (Kaggle). URL: https://www.kaggle.com/competitions/titanic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Market Basket Optimisation Dataset (Kaggle). URL: https://www.kaggle.com/datasets/aslanahmedov/market-basket-optimisation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Online Retail II Dataset (UCI Machine Learning Repository). URL: https://archive.ics.uci.edu/dataset/502/online+retail+ii</w:t>
      </w:r>
    </w:p>
    <w:bookmarkEnd w:id="28"/>
    <w:bookmarkEnd w:id="29"/>
    <w:sectPr>
      <w:footnotePr>
        <w:numRestart w:val="eachSect"/>
      </w:footnote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styleId="BodyText" w:type="paragraph">
    <w:name w:val="Body Text"/>
    <w:basedOn w:val="Normal"/>
    <w:link w:val="BodyTextChar"/>
    <w:qFormat/>
    <w:pPr>
      <w:spacing w:after="0" w:before="180" w:line="360" w:lineRule="auto"/>
      <w:ind w:firstLine="709"/>
    </w:pPr>
    <w:rPr>
      <w:rFonts w:ascii="Times New Roman" w:hAnsi="Times New Roman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0"/>
      <w:ind w:firstLine="709"/>
    </w:pPr>
    <w:rPr>
      <w:rFonts w:ascii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360" w:lineRule="auto"/>
      <w:ind w:firstLine="709"/>
    </w:pPr>
    <w:rPr>
      <w:rFonts w:ascii="Times New Roman" w:hAnsi="Times New Roman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240"/>
      <w:ind w:firstLine="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40" w:before="240"/>
      <w:ind w:firstLine="0"/>
      <w:outlineLvl w:val="1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40" w:before="240"/>
      <w:ind w:firstLine="0"/>
      <w:outlineLvl w:val="2"/>
    </w:pPr>
    <w:rPr>
      <w:rFonts w:cstheme="majorBidi" w:eastAsiaTheme="majorEastAsia" w:ascii="Times New Roman" w:hAnsi="Times New Roman"/>
      <w:b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2026-07-21T20:09:29Z</dcterms:created>
  <dcterms:modified xsi:type="dcterms:W3CDTF">2026-07-21T20:09:29Z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