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8EFB" w14:textId="77777777" w:rsidR="009B20D0" w:rsidRPr="009B20D0" w:rsidRDefault="009B20D0" w:rsidP="009B20D0">
      <w:pPr>
        <w:rPr>
          <w:b/>
          <w:bCs/>
        </w:rPr>
      </w:pPr>
      <w:r w:rsidRPr="009B20D0">
        <w:rPr>
          <w:b/>
          <w:bCs/>
        </w:rPr>
        <w:t>5. Modeling — Baseline Classifier (Logistic Regression)</w:t>
      </w:r>
    </w:p>
    <w:p w14:paraId="0623FA12" w14:textId="0CDD6B76" w:rsidR="009B20D0" w:rsidRPr="009B20D0" w:rsidRDefault="009B20D0" w:rsidP="009B20D0">
      <w:pPr>
        <w:rPr>
          <w:b/>
          <w:bCs/>
        </w:rPr>
      </w:pPr>
      <w:r w:rsidRPr="009B20D0">
        <w:rPr>
          <w:b/>
          <w:bCs/>
        </w:rPr>
        <w:t xml:space="preserve">5.1 Model </w:t>
      </w:r>
      <w:r>
        <w:rPr>
          <w:b/>
          <w:bCs/>
        </w:rPr>
        <w:t xml:space="preserve">Information </w:t>
      </w:r>
    </w:p>
    <w:p w14:paraId="2D3D3193" w14:textId="0EA2723B" w:rsidR="009B20D0" w:rsidRPr="009B20D0" w:rsidRDefault="009B20D0" w:rsidP="009B20D0">
      <w:r w:rsidRPr="009B20D0">
        <w:t>Logistic Regression was selected as the Phase 1 baseline classifier</w:t>
      </w:r>
      <w:r>
        <w:t xml:space="preserve"> which have</w:t>
      </w:r>
      <w:r w:rsidRPr="009B20D0">
        <w:t>:</w:t>
      </w:r>
    </w:p>
    <w:p w14:paraId="1FA38E40" w14:textId="77777777" w:rsidR="009B20D0" w:rsidRPr="009B20D0" w:rsidRDefault="009B20D0" w:rsidP="009B20D0">
      <w:pPr>
        <w:numPr>
          <w:ilvl w:val="0"/>
          <w:numId w:val="1"/>
        </w:numPr>
      </w:pPr>
      <w:r w:rsidRPr="009B20D0">
        <w:rPr>
          <w:b/>
          <w:bCs/>
        </w:rPr>
        <w:t xml:space="preserve">Interpretability: </w:t>
      </w:r>
      <w:r w:rsidRPr="009B20D0">
        <w:t>Coefficients directly quantify each feature's contribution to the predicted default probability. This is valuable in credit risk contexts where explainability is often required.</w:t>
      </w:r>
    </w:p>
    <w:p w14:paraId="6094E96A" w14:textId="77777777" w:rsidR="009B20D0" w:rsidRPr="009B20D0" w:rsidRDefault="009B20D0" w:rsidP="009B20D0">
      <w:pPr>
        <w:numPr>
          <w:ilvl w:val="0"/>
          <w:numId w:val="1"/>
        </w:numPr>
      </w:pPr>
      <w:r w:rsidRPr="009B20D0">
        <w:rPr>
          <w:b/>
          <w:bCs/>
        </w:rPr>
        <w:t xml:space="preserve">Efficiency: </w:t>
      </w:r>
      <w:r w:rsidRPr="009B20D0">
        <w:t>With ~24,000 training rows and 35 features, Logistic Regression converges quickly and provides a reliable performance floor for comparison.</w:t>
      </w:r>
    </w:p>
    <w:p w14:paraId="4BCB823D" w14:textId="77777777" w:rsidR="009B20D0" w:rsidRPr="009B20D0" w:rsidRDefault="009B20D0" w:rsidP="009B20D0">
      <w:pPr>
        <w:numPr>
          <w:ilvl w:val="0"/>
          <w:numId w:val="1"/>
        </w:numPr>
      </w:pPr>
      <w:r w:rsidRPr="009B20D0">
        <w:rPr>
          <w:b/>
          <w:bCs/>
        </w:rPr>
        <w:t xml:space="preserve">Class Imbalance Handling: </w:t>
      </w:r>
      <w:r w:rsidRPr="009B20D0">
        <w:t>The class_weight='balanced' parameter scales the per-sample loss function inversely with class frequencies, directly addressing the 78/22 imbalance.</w:t>
      </w:r>
    </w:p>
    <w:p w14:paraId="59504C3B" w14:textId="77777777" w:rsidR="009B20D0" w:rsidRPr="009B20D0" w:rsidRDefault="009B20D0" w:rsidP="009B20D0">
      <w:pPr>
        <w:numPr>
          <w:ilvl w:val="0"/>
          <w:numId w:val="1"/>
        </w:numPr>
      </w:pPr>
      <w:r w:rsidRPr="009B20D0">
        <w:rPr>
          <w:b/>
          <w:bCs/>
        </w:rPr>
        <w:t xml:space="preserve">Regularization: </w:t>
      </w:r>
      <w:r w:rsidRPr="009B20D0">
        <w:t>Default L2 regularization shrinks redundant coefficients and reduces overfitting risk.</w:t>
      </w:r>
    </w:p>
    <w:p w14:paraId="448BF901" w14:textId="77777777" w:rsidR="009B20D0" w:rsidRDefault="009B20D0" w:rsidP="009B20D0">
      <w:pPr>
        <w:pStyle w:val="Heading2"/>
      </w:pPr>
      <w:r>
        <w:t>5.2  Model Configuration</w:t>
      </w:r>
    </w:p>
    <w:p w14:paraId="48DC6505" w14:textId="77777777" w:rsidR="009B20D0" w:rsidRDefault="009B20D0" w:rsidP="009B20D0">
      <w:pPr>
        <w:spacing w:after="100"/>
        <w:jc w:val="both"/>
      </w:pPr>
      <w:r>
        <w:t>The model was configured with the following parameters:</w:t>
      </w:r>
    </w:p>
    <w:p w14:paraId="4A1C397F" w14:textId="77777777" w:rsidR="009B20D0" w:rsidRDefault="009B20D0" w:rsidP="009B20D0">
      <w:pPr>
        <w:spacing w:after="80"/>
      </w:pPr>
      <w:r>
        <w:t xml:space="preserve"> </w:t>
      </w:r>
    </w:p>
    <w:tbl>
      <w:tblPr>
        <w:tblW w:w="936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9B20D0" w14:paraId="7E96325A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7D69E52" w14:textId="77777777" w:rsidR="009B20D0" w:rsidRDefault="009B20D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F8479D2" w14:textId="77777777" w:rsidR="009B20D0" w:rsidRDefault="009B20D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8423272" w14:textId="77777777" w:rsidR="009B20D0" w:rsidRDefault="009B20D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9B20D0" w14:paraId="58685244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31698F6" w14:textId="77777777" w:rsidR="009B20D0" w:rsidRDefault="009B20D0">
            <w:r>
              <w:rPr>
                <w:rFonts w:ascii="Courier New" w:hAnsi="Courier New" w:cs="Courier New"/>
                <w:sz w:val="20"/>
                <w:szCs w:val="20"/>
              </w:rPr>
              <w:t>solver</w:t>
            </w:r>
          </w:p>
        </w:tc>
        <w:tc>
          <w:tcPr>
            <w:tcW w:w="22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4F6EF5A" w14:textId="77777777" w:rsidR="009B20D0" w:rsidRDefault="009B20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lbfgs</w:t>
            </w:r>
          </w:p>
        </w:tc>
        <w:tc>
          <w:tcPr>
            <w:tcW w:w="4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04955AB" w14:textId="77777777" w:rsidR="009B20D0" w:rsidRDefault="009B20D0">
            <w:r>
              <w:rPr>
                <w:i/>
                <w:iCs/>
                <w:sz w:val="20"/>
                <w:szCs w:val="20"/>
              </w:rPr>
              <w:t>Efficient quasi-Newton method; supports L2 penalty natively</w:t>
            </w:r>
          </w:p>
        </w:tc>
      </w:tr>
      <w:tr w:rsidR="009B20D0" w14:paraId="32FDF4BB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528F00B" w14:textId="77777777" w:rsidR="009B20D0" w:rsidRDefault="009B20D0">
            <w:r>
              <w:rPr>
                <w:rFonts w:ascii="Courier New" w:hAnsi="Courier New" w:cs="Courier New"/>
                <w:sz w:val="20"/>
                <w:szCs w:val="20"/>
              </w:rPr>
              <w:t>max_iter</w:t>
            </w:r>
          </w:p>
        </w:tc>
        <w:tc>
          <w:tcPr>
            <w:tcW w:w="22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E8D9AB4" w14:textId="77777777" w:rsidR="009B20D0" w:rsidRDefault="009B20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1000</w:t>
            </w:r>
          </w:p>
        </w:tc>
        <w:tc>
          <w:tcPr>
            <w:tcW w:w="4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974DAE3" w14:textId="77777777" w:rsidR="009B20D0" w:rsidRDefault="009B20D0">
            <w:r>
              <w:rPr>
                <w:i/>
                <w:iCs/>
                <w:sz w:val="20"/>
                <w:szCs w:val="20"/>
              </w:rPr>
              <w:t>Ensures convergence without ConvergenceWarning on this dataset</w:t>
            </w:r>
          </w:p>
        </w:tc>
      </w:tr>
      <w:tr w:rsidR="009B20D0" w14:paraId="73D96896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3A28199" w14:textId="77777777" w:rsidR="009B20D0" w:rsidRDefault="009B20D0">
            <w:r>
              <w:rPr>
                <w:rFonts w:ascii="Courier New" w:hAnsi="Courier New" w:cs="Courier New"/>
                <w:sz w:val="20"/>
                <w:szCs w:val="20"/>
              </w:rPr>
              <w:t>class_weight</w:t>
            </w:r>
          </w:p>
        </w:tc>
        <w:tc>
          <w:tcPr>
            <w:tcW w:w="22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1C52B85B" w14:textId="77777777" w:rsidR="009B20D0" w:rsidRDefault="009B20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balanced</w:t>
            </w:r>
          </w:p>
        </w:tc>
        <w:tc>
          <w:tcPr>
            <w:tcW w:w="4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C773282" w14:textId="77777777" w:rsidR="009B20D0" w:rsidRDefault="009B20D0">
            <w:r>
              <w:rPr>
                <w:i/>
                <w:iCs/>
                <w:sz w:val="20"/>
                <w:szCs w:val="20"/>
              </w:rPr>
              <w:t>Compensates for the 78/22 non-default/default split</w:t>
            </w:r>
          </w:p>
        </w:tc>
      </w:tr>
      <w:tr w:rsidR="009B20D0" w14:paraId="51B83387" w14:textId="77777777"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68E27A4" w14:textId="77777777" w:rsidR="009B20D0" w:rsidRDefault="009B20D0">
            <w:r>
              <w:rPr>
                <w:rFonts w:ascii="Courier New" w:hAnsi="Courier New" w:cs="Courier New"/>
                <w:sz w:val="20"/>
                <w:szCs w:val="20"/>
              </w:rPr>
              <w:t>random_state</w:t>
            </w:r>
          </w:p>
        </w:tc>
        <w:tc>
          <w:tcPr>
            <w:tcW w:w="22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693C72C" w14:textId="77777777" w:rsidR="009B20D0" w:rsidRDefault="009B20D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43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E4CC1EC" w14:textId="77777777" w:rsidR="009B20D0" w:rsidRDefault="009B20D0">
            <w:r>
              <w:rPr>
                <w:i/>
                <w:iCs/>
                <w:sz w:val="20"/>
                <w:szCs w:val="20"/>
              </w:rPr>
              <w:t>Matches Role 1 and Role 2 seeds for reproducibility</w:t>
            </w:r>
          </w:p>
        </w:tc>
      </w:tr>
    </w:tbl>
    <w:p w14:paraId="0330152C" w14:textId="77777777" w:rsidR="00B37DC1" w:rsidRDefault="00B37DC1"/>
    <w:p w14:paraId="607E9BAD" w14:textId="77777777" w:rsidR="009B20D0" w:rsidRPr="009B20D0" w:rsidRDefault="009B20D0" w:rsidP="009B20D0">
      <w:pPr>
        <w:rPr>
          <w:b/>
          <w:bCs/>
        </w:rPr>
      </w:pPr>
      <w:r w:rsidRPr="009B20D0">
        <w:rPr>
          <w:b/>
          <w:bCs/>
        </w:rPr>
        <w:t>5.3  Training Pipeline</w:t>
      </w:r>
    </w:p>
    <w:p w14:paraId="742715C2" w14:textId="77777777" w:rsidR="009B20D0" w:rsidRPr="009B20D0" w:rsidRDefault="009B20D0" w:rsidP="009B20D0">
      <w:r w:rsidRPr="009B20D0">
        <w:t>The model was trained strictly on the training partition. The test set was never accessed during training to prevent data leakage. Figure 5 confirms the training and test dimensions after the full preprocessing pipeline.</w:t>
      </w:r>
    </w:p>
    <w:p w14:paraId="75253AAA" w14:textId="77777777" w:rsidR="009B20D0" w:rsidRPr="009B20D0" w:rsidRDefault="009B20D0" w:rsidP="009B20D0">
      <w:r w:rsidRPr="009B20D0">
        <w:t>The training set contains 23,945 samples and 69 features, reflecting the one-hot encoding of all categorical variables (PAY_0 through PAY_6, EDUCATION, MARRIAGE, SEX). The 69-feature space is the result of the full ColumnTransformer pipeline applied by Role 1.</w:t>
      </w:r>
    </w:p>
    <w:p w14:paraId="5BAF447D" w14:textId="77777777" w:rsidR="00A67ED2" w:rsidRPr="00A67ED2" w:rsidRDefault="00A67ED2" w:rsidP="00A67ED2">
      <w:pPr>
        <w:rPr>
          <w:b/>
          <w:bCs/>
        </w:rPr>
      </w:pPr>
      <w:r w:rsidRPr="00A67ED2">
        <w:rPr>
          <w:b/>
          <w:bCs/>
        </w:rPr>
        <w:t>6  Performance Evaluation</w:t>
      </w:r>
    </w:p>
    <w:p w14:paraId="6DE36498" w14:textId="77777777" w:rsidR="00A67ED2" w:rsidRPr="00A67ED2" w:rsidRDefault="00A67ED2" w:rsidP="00A67ED2">
      <w:pPr>
        <w:rPr>
          <w:b/>
          <w:bCs/>
        </w:rPr>
      </w:pPr>
      <w:r w:rsidRPr="00A67ED2">
        <w:rPr>
          <w:b/>
          <w:bCs/>
        </w:rPr>
        <w:lastRenderedPageBreak/>
        <w:t>6.1  Summary Metrics</w:t>
      </w:r>
    </w:p>
    <w:p w14:paraId="47971EB8" w14:textId="77777777" w:rsidR="00A67ED2" w:rsidRPr="00A67ED2" w:rsidRDefault="00A67ED2" w:rsidP="00A67ED2">
      <w:r w:rsidRPr="00A67ED2">
        <w:t>The trained model was evaluated on the held-out test set of 5,987 samples. Three primary metrics were computed:</w:t>
      </w:r>
    </w:p>
    <w:p w14:paraId="0B824A4B" w14:textId="77777777" w:rsidR="00A67ED2" w:rsidRPr="00A67ED2" w:rsidRDefault="00A67ED2" w:rsidP="00A67ED2">
      <w:r w:rsidRPr="00A67ED2">
        <w:t xml:space="preserve"> </w:t>
      </w:r>
    </w:p>
    <w:tbl>
      <w:tblPr>
        <w:tblW w:w="936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A67ED2" w:rsidRPr="00A67ED2" w14:paraId="23FFFF3E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068E3BC" w14:textId="77777777" w:rsidR="00A67ED2" w:rsidRPr="00A67ED2" w:rsidRDefault="00A67ED2" w:rsidP="00A67ED2">
            <w:r w:rsidRPr="00A67ED2">
              <w:rPr>
                <w:b/>
                <w:bCs/>
              </w:rPr>
              <w:t>Metric</w:t>
            </w:r>
          </w:p>
        </w:tc>
        <w:tc>
          <w:tcPr>
            <w:tcW w:w="1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2F55785" w14:textId="77777777" w:rsidR="00A67ED2" w:rsidRPr="00A67ED2" w:rsidRDefault="00A67ED2" w:rsidP="00A67ED2">
            <w:r w:rsidRPr="00A67ED2">
              <w:rPr>
                <w:b/>
                <w:bCs/>
              </w:rPr>
              <w:t>Value</w:t>
            </w:r>
          </w:p>
        </w:tc>
        <w:tc>
          <w:tcPr>
            <w:tcW w:w="50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92B7A4F" w14:textId="77777777" w:rsidR="00A67ED2" w:rsidRPr="00A67ED2" w:rsidRDefault="00A67ED2" w:rsidP="00A67ED2">
            <w:r w:rsidRPr="00A67ED2">
              <w:t>Interpretation</w:t>
            </w:r>
          </w:p>
        </w:tc>
      </w:tr>
      <w:tr w:rsidR="00A67ED2" w:rsidRPr="00A67ED2" w14:paraId="67F6E320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EEFBF7F" w14:textId="77777777" w:rsidR="00A67ED2" w:rsidRPr="00A67ED2" w:rsidRDefault="00A67ED2" w:rsidP="00A67ED2">
            <w:r w:rsidRPr="00A67ED2">
              <w:t>Accuracy</w:t>
            </w:r>
          </w:p>
        </w:tc>
        <w:tc>
          <w:tcPr>
            <w:tcW w:w="1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E923A09" w14:textId="77777777" w:rsidR="00A67ED2" w:rsidRPr="00A67ED2" w:rsidRDefault="00A67ED2" w:rsidP="00A67ED2">
            <w:r w:rsidRPr="00A67ED2">
              <w:rPr>
                <w:b/>
                <w:bCs/>
              </w:rPr>
              <w:t>76.83%</w:t>
            </w:r>
          </w:p>
        </w:tc>
        <w:tc>
          <w:tcPr>
            <w:tcW w:w="50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AC94F61" w14:textId="77777777" w:rsidR="00A67ED2" w:rsidRPr="00A67ED2" w:rsidRDefault="00A67ED2" w:rsidP="00A67ED2">
            <w:r w:rsidRPr="00A67ED2">
              <w:rPr>
                <w:i/>
                <w:iCs/>
              </w:rPr>
              <w:t>Overall correct predictions — less meaningful due to class imbalance</w:t>
            </w:r>
          </w:p>
        </w:tc>
      </w:tr>
      <w:tr w:rsidR="00A67ED2" w:rsidRPr="00A67ED2" w14:paraId="7C334E1B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57426E2" w14:textId="77777777" w:rsidR="00A67ED2" w:rsidRPr="00A67ED2" w:rsidRDefault="00A67ED2" w:rsidP="00A67ED2">
            <w:r w:rsidRPr="00A67ED2">
              <w:t>F1-Score (Default class)</w:t>
            </w:r>
          </w:p>
        </w:tc>
        <w:tc>
          <w:tcPr>
            <w:tcW w:w="1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40460ED" w14:textId="77777777" w:rsidR="00A67ED2" w:rsidRPr="00A67ED2" w:rsidRDefault="00A67ED2" w:rsidP="00A67ED2">
            <w:r w:rsidRPr="00A67ED2">
              <w:rPr>
                <w:b/>
                <w:bCs/>
              </w:rPr>
              <w:t>0.5162</w:t>
            </w:r>
          </w:p>
        </w:tc>
        <w:tc>
          <w:tcPr>
            <w:tcW w:w="50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707401C" w14:textId="77777777" w:rsidR="00A67ED2" w:rsidRPr="00A67ED2" w:rsidRDefault="00A67ED2" w:rsidP="00A67ED2">
            <w:r w:rsidRPr="00A67ED2">
              <w:rPr>
                <w:i/>
                <w:iCs/>
              </w:rPr>
              <w:t>Primary metric — harmonic mean of Precision and Recall for defaulters</w:t>
            </w:r>
          </w:p>
        </w:tc>
      </w:tr>
      <w:tr w:rsidR="00A67ED2" w:rsidRPr="00A67ED2" w14:paraId="09CEF444" w14:textId="77777777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7485D24" w14:textId="77777777" w:rsidR="00A67ED2" w:rsidRPr="00A67ED2" w:rsidRDefault="00A67ED2" w:rsidP="00A67ED2">
            <w:r w:rsidRPr="00A67ED2">
              <w:t>ROC-AUC</w:t>
            </w:r>
          </w:p>
        </w:tc>
        <w:tc>
          <w:tcPr>
            <w:tcW w:w="180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E2A0752" w14:textId="77777777" w:rsidR="00A67ED2" w:rsidRPr="00A67ED2" w:rsidRDefault="00A67ED2" w:rsidP="00A67ED2">
            <w:r w:rsidRPr="00A67ED2">
              <w:rPr>
                <w:b/>
                <w:bCs/>
              </w:rPr>
              <w:t>0.7634</w:t>
            </w:r>
          </w:p>
        </w:tc>
        <w:tc>
          <w:tcPr>
            <w:tcW w:w="5060" w:type="dxa"/>
            <w:tcBorders>
              <w:top w:val="single" w:sz="2" w:space="0" w:color="CCCCCC"/>
              <w:left w:val="nil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D679513" w14:textId="77777777" w:rsidR="00A67ED2" w:rsidRPr="00A67ED2" w:rsidRDefault="00A67ED2" w:rsidP="00A67ED2">
            <w:r w:rsidRPr="00A67ED2">
              <w:rPr>
                <w:i/>
                <w:iCs/>
              </w:rPr>
              <w:t>Model ranks a random defaulter above a non-defaulter 76% of the time</w:t>
            </w:r>
          </w:p>
        </w:tc>
      </w:tr>
    </w:tbl>
    <w:p w14:paraId="6CF198AD" w14:textId="77777777" w:rsidR="009B20D0" w:rsidRDefault="009B20D0"/>
    <w:p w14:paraId="3BD3D0D7" w14:textId="65D50C8C" w:rsidR="00A67ED2" w:rsidRDefault="00A67ED2">
      <w:r w:rsidRPr="00A67ED2">
        <w:drawing>
          <wp:inline distT="0" distB="0" distL="0" distR="0" wp14:anchorId="394F4754" wp14:editId="31702DA5">
            <wp:extent cx="5382376" cy="2181529"/>
            <wp:effectExtent l="0" t="0" r="8890" b="9525"/>
            <wp:docPr id="212371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13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BA61" w14:textId="46D73F29" w:rsidR="00A67ED2" w:rsidRDefault="00A67ED2" w:rsidP="00A67ED2">
      <w:pPr>
        <w:rPr>
          <w:b/>
          <w:bCs/>
        </w:rPr>
      </w:pPr>
      <w:r w:rsidRPr="00A67ED2">
        <w:rPr>
          <w:b/>
          <w:bCs/>
        </w:rPr>
        <w:t>6.</w:t>
      </w:r>
      <w:r>
        <w:rPr>
          <w:b/>
          <w:bCs/>
        </w:rPr>
        <w:t>2</w:t>
      </w:r>
      <w:r w:rsidRPr="00A67ED2">
        <w:rPr>
          <w:b/>
          <w:bCs/>
        </w:rPr>
        <w:t xml:space="preserve"> Confusion Matrix</w:t>
      </w:r>
    </w:p>
    <w:p w14:paraId="49DD02D8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Interpretation: True Negatives (TN = 3,860) represent non-defaulting clients correctly cleared by the model. True Positives (TP = 740) are defaulters correctly flagged. The two error types are False Positives (FP = 801) — non-defaulters incorrectly labelled as at-risk — and False Negatives (FN = 586) — defaulters the model failed to detect.</w:t>
      </w:r>
    </w:p>
    <w:p w14:paraId="3EC2F874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In credit-risk modeling, False Negatives carry the highest financial cost: a missed defaulter means the bank extends credit it will not recover. The FN count of 586 (representing 44% of all actual defaulters in the test set) is the most critical limitation of this baseline and directly motivates the use of more powerful classifiers in the Final Deliverable.</w:t>
      </w:r>
    </w:p>
    <w:p w14:paraId="58C247C4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False Positives (801), while generating unnecessary credit reviews, carry a lower financial risk than FNs and are a manageable trade-off when using class_weight='balanced'.</w:t>
      </w:r>
    </w:p>
    <w:p w14:paraId="30480AF0" w14:textId="5FB3D076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lastRenderedPageBreak/>
        <w:t xml:space="preserve"> </w:t>
      </w:r>
      <w:r w:rsidR="00FA6F96">
        <w:rPr>
          <w:noProof/>
        </w:rPr>
        <w:drawing>
          <wp:inline distT="0" distB="0" distL="0" distR="0" wp14:anchorId="105136AE" wp14:editId="16AB75B3">
            <wp:extent cx="3619500" cy="310515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BF04" w14:textId="4121F9A4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6.</w:t>
      </w:r>
      <w:r>
        <w:rPr>
          <w:b/>
          <w:bCs/>
        </w:rPr>
        <w:t>3</w:t>
      </w:r>
      <w:r w:rsidRPr="007A74E2">
        <w:rPr>
          <w:b/>
          <w:bCs/>
        </w:rPr>
        <w:t xml:space="preserve">  ROC Curve</w:t>
      </w:r>
    </w:p>
    <w:p w14:paraId="5881D17F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Figure 8 presents the Receiver Operating Characteristic curve for the Logistic Regression model.</w:t>
      </w:r>
    </w:p>
    <w:p w14:paraId="074ED533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 xml:space="preserve"> </w:t>
      </w:r>
    </w:p>
    <w:p w14:paraId="50DDF616" w14:textId="3EA7ED56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drawing>
          <wp:inline distT="0" distB="0" distL="0" distR="0" wp14:anchorId="4AB92C0B" wp14:editId="24CA5AD0">
            <wp:extent cx="4091940" cy="2590800"/>
            <wp:effectExtent l="0" t="0" r="3810" b="0"/>
            <wp:docPr id="420258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74E2">
        <w:rPr>
          <w:b/>
          <w:bCs/>
        </w:rPr>
        <w:t xml:space="preserve"> </w:t>
      </w:r>
    </w:p>
    <w:p w14:paraId="6E36974F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Interpretation: The ROC curve plots the True Positive Rate (Recall) against the False Positive Rate at every classification threshold from 0 to 1. The shaded area under the curve (AUC = 0.763) indicates that the model correctly ranks a randomly selected defaulter above a randomly selected non-defaulter approximately 76% of the time. This is significantly above the random baseline (AUC = 0.5, dashed line), confirming that the feature engineering and preprocessing pipeline introduced meaningful predictive signal.</w:t>
      </w:r>
    </w:p>
    <w:p w14:paraId="3F57B26D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 xml:space="preserve">The steep initial rise of the curve at low False Positive Rates indicates that the model captures a substantial fraction of defaulters with few false alarms at higher decision thresholds. This shape suggests that threshold tuning (e.g., lowering the classification </w:t>
      </w:r>
      <w:r w:rsidRPr="007A74E2">
        <w:rPr>
          <w:b/>
          <w:bCs/>
        </w:rPr>
        <w:lastRenderedPageBreak/>
        <w:t>threshold from 0.5 to ~0.3) could further improve Recall at an acceptable Precision cost — a direction to be explored in Phase 2.</w:t>
      </w:r>
    </w:p>
    <w:p w14:paraId="2264DBD6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 xml:space="preserve"> </w:t>
      </w:r>
    </w:p>
    <w:p w14:paraId="12526B39" w14:textId="0664C909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6.</w:t>
      </w:r>
      <w:r>
        <w:rPr>
          <w:b/>
          <w:bCs/>
        </w:rPr>
        <w:t>4</w:t>
      </w:r>
      <w:r w:rsidRPr="007A74E2">
        <w:rPr>
          <w:b/>
          <w:bCs/>
        </w:rPr>
        <w:t xml:space="preserve">  Feature Coefficient Analysis</w:t>
      </w:r>
    </w:p>
    <w:p w14:paraId="7EE8324F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Figure 9 displays the top 15 features ranked by the absolute value of their Logistic Regression coefficients.</w:t>
      </w:r>
    </w:p>
    <w:p w14:paraId="2CDF0147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 xml:space="preserve"> </w:t>
      </w:r>
    </w:p>
    <w:p w14:paraId="0240CEF3" w14:textId="07E692BE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drawing>
          <wp:inline distT="0" distB="0" distL="0" distR="0" wp14:anchorId="3CDB8713" wp14:editId="45AC8E94">
            <wp:extent cx="4663440" cy="2895600"/>
            <wp:effectExtent l="0" t="0" r="3810" b="0"/>
            <wp:docPr id="574900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74E2">
        <w:rPr>
          <w:b/>
          <w:bCs/>
        </w:rPr>
        <w:t xml:space="preserve"> </w:t>
      </w:r>
    </w:p>
    <w:p w14:paraId="121F4922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Interpretation: The coefficient chart confirms the findings of the EDA analysis. PAY_0_delay_2_months carries the largest positive coefficient (≈ +1.25), making it the single strongest predictor of default — consistent with the PAY_0 bar chart in Section 4 which showed a dramatic increase in default rate for clients with a 2-month payment delay.</w:t>
      </w:r>
    </w:p>
    <w:p w14:paraId="55454820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PAY_0_delay_3_plus_months (≈ +0.90) ranks second, confirming that recent repayment delays are the dominant risk signal in this dataset. Among negative coefficients (features that reduce default risk), PAY_2_delay_1_month (≈ -1.05) appears prominently — suggesting that a one-month delay in an earlier billing period is associated with lower current default risk, possibly because such clients have since resolved their payment difficulties.</w:t>
      </w:r>
    </w:p>
    <w:p w14:paraId="5DECD9B7" w14:textId="77777777" w:rsidR="007A74E2" w:rsidRPr="007A74E2" w:rsidRDefault="007A74E2" w:rsidP="007A74E2">
      <w:pPr>
        <w:rPr>
          <w:b/>
          <w:bCs/>
        </w:rPr>
      </w:pPr>
      <w:r w:rsidRPr="007A74E2">
        <w:rPr>
          <w:b/>
          <w:bCs/>
        </w:rPr>
        <w:t>EDUCATION_others and PAY_0_no_credit carry moderate negative coefficients, indicating that clients with non-standard education profiles or no credit history are less likely to default in this dataset. BILL_AMT1 and PAY_6_revolving show small negative effects, consistent with the expectation that higher outstanding bills and revolving balances are not the primary default driver compared to repayment behaviour.</w:t>
      </w:r>
    </w:p>
    <w:p w14:paraId="360422A8" w14:textId="77777777" w:rsidR="007A74E2" w:rsidRPr="00A67ED2" w:rsidRDefault="007A74E2" w:rsidP="00A67ED2">
      <w:pPr>
        <w:rPr>
          <w:b/>
          <w:bCs/>
        </w:rPr>
      </w:pPr>
    </w:p>
    <w:p w14:paraId="3E54A455" w14:textId="0FD45454" w:rsidR="00A67ED2" w:rsidRDefault="00A67ED2"/>
    <w:sectPr w:rsidR="00A67E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01E8E"/>
    <w:multiLevelType w:val="multilevel"/>
    <w:tmpl w:val="DD746C92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9668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D0"/>
    <w:rsid w:val="00062B8E"/>
    <w:rsid w:val="007A74E2"/>
    <w:rsid w:val="009B20D0"/>
    <w:rsid w:val="00A67ED2"/>
    <w:rsid w:val="00B37DC1"/>
    <w:rsid w:val="00B73072"/>
    <w:rsid w:val="00EA6105"/>
    <w:rsid w:val="00FA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C0AD"/>
  <w15:chartTrackingRefBased/>
  <w15:docId w15:val="{E190051C-299E-4424-A77B-B7394205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9B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9"/>
    <w:rsid w:val="009B2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795</Words>
  <Characters>4657</Characters>
  <Application>Microsoft Office Word</Application>
  <DocSecurity>0</DocSecurity>
  <Lines>91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Mohamed Mokhtar Mohamed 2300824</dc:creator>
  <cp:keywords/>
  <dc:description/>
  <cp:lastModifiedBy>Mahmoud Mohamed Mokhtar Mohamed 2300824</cp:lastModifiedBy>
  <cp:revision>2</cp:revision>
  <dcterms:created xsi:type="dcterms:W3CDTF">2026-04-25T19:34:00Z</dcterms:created>
  <dcterms:modified xsi:type="dcterms:W3CDTF">2026-04-25T19:59:00Z</dcterms:modified>
</cp:coreProperties>
</file>