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Place</w:t>
      </w:r>
      <w:r>
        <w:t xml:space="preserve"> </w:t>
      </w:r>
      <w:r>
        <w:t xml:space="preserve">of</w:t>
      </w:r>
      <w:r>
        <w:t xml:space="preserve"> </w:t>
      </w:r>
      <w:r>
        <w:t xml:space="preserve">Supply</w:t>
      </w:r>
    </w:p>
    <w:bookmarkStart w:id="25" w:name="place-of-supply"/>
    <w:p>
      <w:pPr>
        <w:pStyle w:val="Heading1"/>
      </w:pPr>
      <w:r>
        <w:t xml:space="preserve">Place of Supply</w:t>
      </w:r>
    </w:p>
    <w:bookmarkStart w:id="20" w:name="goods"/>
    <w:p>
      <w:pPr>
        <w:pStyle w:val="Heading2"/>
      </w:pPr>
      <w:r>
        <w:t xml:space="preserve">Goods</w:t>
      </w:r>
    </w:p>
    <w:p>
      <w:pPr>
        <w:numPr>
          <w:ilvl w:val="0"/>
          <w:numId w:val="1001"/>
        </w:numPr>
        <w:pStyle w:val="Compact"/>
      </w:pPr>
      <w:r>
        <w:t xml:space="preserve">POS in state if supply made in state</w:t>
      </w:r>
    </w:p>
    <w:p>
      <w:pPr>
        <w:numPr>
          <w:ilvl w:val="0"/>
          <w:numId w:val="1001"/>
        </w:numPr>
        <w:pStyle w:val="Compact"/>
      </w:pPr>
      <w:r>
        <w:t xml:space="preserve">Assembly or Installation:</w:t>
      </w:r>
    </w:p>
    <w:p>
      <w:pPr>
        <w:numPr>
          <w:ilvl w:val="1"/>
          <w:numId w:val="1002"/>
        </w:numPr>
        <w:pStyle w:val="Compact"/>
      </w:pPr>
      <w:r>
        <w:t xml:space="preserve">If in state - POS is State</w:t>
      </w:r>
    </w:p>
    <w:p>
      <w:pPr>
        <w:numPr>
          <w:ilvl w:val="1"/>
          <w:numId w:val="1002"/>
        </w:numPr>
        <w:pStyle w:val="Compact"/>
      </w:pPr>
      <w:r>
        <w:t xml:space="preserve">If outside - Not POS</w:t>
      </w:r>
    </w:p>
    <w:bookmarkEnd w:id="20"/>
    <w:bookmarkStart w:id="21" w:name="export-or-import"/>
    <w:p>
      <w:pPr>
        <w:pStyle w:val="Heading2"/>
      </w:pPr>
      <w:r>
        <w:t xml:space="preserve">Export or Import</w:t>
      </w:r>
    </w:p>
    <w:p>
      <w:pPr>
        <w:numPr>
          <w:ilvl w:val="0"/>
          <w:numId w:val="1003"/>
        </w:numPr>
        <w:pStyle w:val="Compact"/>
      </w:pPr>
      <w:r>
        <w:t xml:space="preserve">Inside the state</w:t>
      </w:r>
    </w:p>
    <w:p>
      <w:pPr>
        <w:numPr>
          <w:ilvl w:val="1"/>
          <w:numId w:val="1004"/>
        </w:numPr>
        <w:pStyle w:val="Compact"/>
      </w:pPr>
      <w:r>
        <w:t xml:space="preserve">If export to place outside the Implementing States</w:t>
      </w:r>
    </w:p>
    <w:p>
      <w:pPr>
        <w:numPr>
          <w:ilvl w:val="1"/>
          <w:numId w:val="1004"/>
        </w:numPr>
        <w:pStyle w:val="Compact"/>
      </w:pPr>
      <w:r>
        <w:t xml:space="preserve">If recipient is in Implementing State - Not Registered - and total exports does not exceed mandatory threshold of said state (375k)</w:t>
      </w:r>
    </w:p>
    <w:p>
      <w:pPr>
        <w:numPr>
          <w:ilvl w:val="1"/>
          <w:numId w:val="1004"/>
        </w:numPr>
        <w:pStyle w:val="Compact"/>
      </w:pPr>
      <w:r>
        <w:t xml:space="preserve">If recipient is in State - Not Registered - and total imports exceeding the mandatory threshold of state (375k)</w:t>
      </w:r>
    </w:p>
    <w:p>
      <w:pPr>
        <w:numPr>
          <w:ilvl w:val="0"/>
          <w:numId w:val="1003"/>
        </w:numPr>
        <w:pStyle w:val="Compact"/>
      </w:pPr>
      <w:r>
        <w:t xml:space="preserve">Outside the state</w:t>
      </w:r>
    </w:p>
    <w:p>
      <w:pPr>
        <w:numPr>
          <w:ilvl w:val="1"/>
          <w:numId w:val="1005"/>
        </w:numPr>
        <w:pStyle w:val="Compact"/>
      </w:pPr>
      <w:r>
        <w:t xml:space="preserve">If export to Tax Registered customer in Implementing States</w:t>
      </w:r>
    </w:p>
    <w:p>
      <w:pPr>
        <w:numPr>
          <w:ilvl w:val="1"/>
          <w:numId w:val="1005"/>
        </w:numPr>
        <w:pStyle w:val="Compact"/>
      </w:pPr>
      <w:r>
        <w:t xml:space="preserve">If recipient is in Implementing State - Not Registered - and total exports exceeds mandatory threshold of said state (375k)</w:t>
      </w:r>
    </w:p>
    <w:p>
      <w:pPr>
        <w:numPr>
          <w:ilvl w:val="1"/>
          <w:numId w:val="1005"/>
        </w:numPr>
        <w:pStyle w:val="Compact"/>
      </w:pPr>
      <w:r>
        <w:t xml:space="preserve">If recipient is in State - Not Registered - and total imports does not exceed the mandatory threshold of state (375k)</w:t>
      </w:r>
    </w:p>
    <w:bookmarkEnd w:id="21"/>
    <w:bookmarkStart w:id="22" w:name="document-of-supplies"/>
    <w:p>
      <w:pPr>
        <w:pStyle w:val="Heading2"/>
      </w:pPr>
      <w:r>
        <w:t xml:space="preserve">Document of Supplies</w:t>
      </w:r>
    </w:p>
    <w:p>
      <w:pPr>
        <w:pStyle w:val="FirstParagraph"/>
      </w:pPr>
      <w:r>
        <w:t xml:space="preserve">To Implementing States</w:t>
      </w:r>
    </w:p>
    <w:p>
      <w:pPr>
        <w:numPr>
          <w:ilvl w:val="0"/>
          <w:numId w:val="1006"/>
        </w:numPr>
        <w:pStyle w:val="Compact"/>
      </w:pPr>
      <w:r>
        <w:t xml:space="preserve">Tax Registration Number of Recipient of Goods &amp; Services</w:t>
      </w:r>
    </w:p>
    <w:p>
      <w:pPr>
        <w:numPr>
          <w:ilvl w:val="0"/>
          <w:numId w:val="1006"/>
        </w:numPr>
        <w:pStyle w:val="Compact"/>
      </w:pPr>
      <w:r>
        <w:t xml:space="preserve">Statement identifying the supply b/w State and Implementing State</w:t>
      </w:r>
    </w:p>
    <w:p>
      <w:pPr>
        <w:numPr>
          <w:ilvl w:val="0"/>
          <w:numId w:val="1006"/>
        </w:numPr>
        <w:pStyle w:val="Compact"/>
      </w:pPr>
      <w:r>
        <w:t xml:space="preserve">Other info specified by authority</w:t>
      </w: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</w:p>
    <w:bookmarkEnd w:id="23"/>
    <w:bookmarkStart w:id="24" w:name="water-energy"/>
    <w:p>
      <w:pPr>
        <w:pStyle w:val="Heading2"/>
      </w:pPr>
      <w:r>
        <w:t xml:space="preserve">Water &amp; Energy</w:t>
      </w:r>
    </w:p>
    <w:p>
      <w:pPr>
        <w:pStyle w:val="FirstParagraph"/>
      </w:pPr>
      <w:r>
        <w:t xml:space="preserve">Supplier → Implementing State Customer VAT Registered</w:t>
      </w:r>
    </w:p>
    <w:p>
      <w:pPr>
        <w:numPr>
          <w:ilvl w:val="0"/>
          <w:numId w:val="1007"/>
        </w:numPr>
        <w:pStyle w:val="Compact"/>
      </w:pPr>
      <w:r>
        <w:t xml:space="preserve">POS - Implementing State</w:t>
      </w:r>
    </w:p>
    <w:p>
      <w:pPr>
        <w:pStyle w:val="FirstParagraph"/>
      </w:pPr>
      <w:r>
        <w:t xml:space="preserve">Supplier → Implementing State Customer VAT Registered</w:t>
      </w:r>
    </w:p>
    <w:p>
      <w:pPr>
        <w:numPr>
          <w:ilvl w:val="0"/>
          <w:numId w:val="1008"/>
        </w:numPr>
        <w:pStyle w:val="Compact"/>
      </w:pPr>
      <w:r>
        <w:t xml:space="preserve">POS - Implementing State</w:t>
      </w:r>
    </w:p>
    <w:bookmarkEnd w:id="24"/>
    <w:bookmarkEnd w:id="25"/>
    <w:bookmarkStart w:id="37" w:name="place-of-supply-of-services"/>
    <w:p>
      <w:pPr>
        <w:pStyle w:val="Heading1"/>
      </w:pPr>
      <w:r>
        <w:t xml:space="preserve">Place of Supply of Services</w:t>
      </w:r>
    </w:p>
    <w:p>
      <w:pPr>
        <w:pStyle w:val="FirstParagraph"/>
      </w:pPr>
      <w:r>
        <w:t xml:space="preserve">The place of supply → Place of Residence of Supplier</w:t>
      </w:r>
    </w:p>
    <w:bookmarkStart w:id="36" w:name="special-cases"/>
    <w:p>
      <w:pPr>
        <w:pStyle w:val="Heading2"/>
      </w:pPr>
      <w:r>
        <w:t xml:space="preserve">Special Cases</w:t>
      </w:r>
    </w:p>
    <w:bookmarkStart w:id="28" w:name="implementing-states"/>
    <w:p>
      <w:pPr>
        <w:pStyle w:val="Heading3"/>
      </w:pPr>
      <w:r>
        <w:t xml:space="preserve">30-1 Implementing States</w:t>
      </w:r>
    </w:p>
    <w:p>
      <w:pPr>
        <w:pStyle w:val="FirstParagraph"/>
      </w:pPr>
      <w:r>
        <w:t xml:space="preserve">If Recipient has place of residence in Implementing State → that is Place of Supply</w:t>
      </w:r>
      <w:r>
        <w:br/>
      </w:r>
      <w:hyperlink r:id="rId26">
        <w:r>
          <w:rPr>
            <w:rStyle w:val="Hyperlink"/>
          </w:rPr>
          <w:t xml:space="preserve">Example 1</w:t>
        </w:r>
      </w:hyperlink>
      <w:r>
        <w:br/>
      </w:r>
      <w:hyperlink r:id="rId27">
        <w:r>
          <w:rPr>
            <w:rStyle w:val="Hyperlink"/>
          </w:rPr>
          <w:t xml:space="preserve">Example 2</w:t>
        </w:r>
      </w:hyperlink>
    </w:p>
    <w:bookmarkEnd w:id="28"/>
    <w:bookmarkStart w:id="29" w:name="outside-implementing-states"/>
    <w:p>
      <w:pPr>
        <w:pStyle w:val="Heading3"/>
      </w:pPr>
      <w:r>
        <w:t xml:space="preserve">30-2 Outside Implementing States</w:t>
      </w:r>
    </w:p>
    <w:p>
      <w:pPr>
        <w:pStyle w:val="FirstParagraph"/>
      </w:pPr>
      <w:r>
        <w:t xml:space="preserve">If Supplier is from outside implementing states → place of supply is the state</w:t>
      </w:r>
      <w:r>
        <w:br/>
      </w:r>
      <w:hyperlink r:id="rId26">
        <w:r>
          <w:rPr>
            <w:rStyle w:val="Hyperlink"/>
          </w:rPr>
          <w:t xml:space="preserve">Example</w:t>
        </w:r>
      </w:hyperlink>
    </w:p>
    <w:bookmarkEnd w:id="29"/>
    <w:bookmarkStart w:id="30" w:name="installation-of-goods"/>
    <w:p>
      <w:pPr>
        <w:pStyle w:val="Heading3"/>
      </w:pPr>
      <w:r>
        <w:t xml:space="preserve">30-3 Installation of Goods</w:t>
      </w:r>
    </w:p>
    <w:p>
      <w:pPr>
        <w:pStyle w:val="FirstParagraph"/>
      </w:pPr>
      <w:r>
        <w:t xml:space="preserve">Where services were performed</w:t>
      </w:r>
    </w:p>
    <w:bookmarkEnd w:id="30"/>
    <w:bookmarkStart w:id="32" w:name="means-of-transport"/>
    <w:p>
      <w:pPr>
        <w:pStyle w:val="Heading3"/>
      </w:pPr>
      <w:r>
        <w:t xml:space="preserve">30-4 Means of Transport</w:t>
      </w:r>
    </w:p>
    <w:p>
      <w:pPr>
        <w:pStyle w:val="FirstParagraph"/>
      </w:pPr>
      <w:r>
        <w:t xml:space="preserve">If supply is lease of means of transport, the lessee - not tax registered in implementing state, → Place of Supply is where the means of transport is placed at disposal of lessee.</w:t>
      </w:r>
      <w:r>
        <w:br/>
      </w:r>
      <w:hyperlink r:id="rId31">
        <w:r>
          <w:rPr>
            <w:rStyle w:val="Hyperlink"/>
          </w:rPr>
          <w:t xml:space="preserve">Example</w:t>
        </w:r>
      </w:hyperlink>
    </w:p>
    <w:bookmarkEnd w:id="32"/>
    <w:bookmarkStart w:id="34" w:name="section"/>
    <w:p>
      <w:pPr>
        <w:pStyle w:val="Heading3"/>
      </w:pPr>
      <w:r>
        <w:t xml:space="preserve">30-5,6,7,8</w:t>
      </w:r>
    </w:p>
    <w:p>
      <w:pPr>
        <w:pStyle w:val="FirstParagraph"/>
      </w:pPr>
      <w:r>
        <w:t xml:space="preserve">Place of Supply → where services are performed</w:t>
      </w:r>
    </w:p>
    <w:p>
      <w:pPr>
        <w:numPr>
          <w:ilvl w:val="0"/>
          <w:numId w:val="1009"/>
        </w:numPr>
        <w:pStyle w:val="Compact"/>
      </w:pPr>
      <w:r>
        <w:t xml:space="preserve">Restaurant, Hotel, and Food &amp; Drink Catering Services</w:t>
      </w:r>
    </w:p>
    <w:p>
      <w:pPr>
        <w:numPr>
          <w:ilvl w:val="0"/>
          <w:numId w:val="1009"/>
        </w:numPr>
        <w:pStyle w:val="Compact"/>
      </w:pPr>
      <w:r>
        <w:t xml:space="preserve">Cultural, artistic, sports, educational or any similar services</w:t>
      </w:r>
    </w:p>
    <w:p>
      <w:pPr>
        <w:numPr>
          <w:ilvl w:val="0"/>
          <w:numId w:val="1009"/>
        </w:numPr>
        <w:pStyle w:val="Compact"/>
      </w:pPr>
      <w:r>
        <w:t xml:space="preserve">Related to Real Estate - where real estate is located</w:t>
      </w:r>
    </w:p>
    <w:p>
      <w:pPr>
        <w:numPr>
          <w:ilvl w:val="0"/>
          <w:numId w:val="1009"/>
        </w:numPr>
        <w:pStyle w:val="Compact"/>
      </w:pPr>
      <w:r>
        <w:t xml:space="preserve">Transportation Services - where the transport begins -</w:t>
      </w:r>
      <w:r>
        <w:t xml:space="preserve"> </w:t>
      </w:r>
      <w:hyperlink r:id="rId33">
        <w:r>
          <w:rPr>
            <w:rStyle w:val="Hyperlink"/>
          </w:rPr>
          <w:t xml:space="preserve">Example</w:t>
        </w:r>
      </w:hyperlink>
    </w:p>
    <w:bookmarkEnd w:id="34"/>
    <w:bookmarkStart w:id="35" w:name="X2c08505b08299fb03b3faf489868da26922464a"/>
    <w:p>
      <w:pPr>
        <w:pStyle w:val="Heading3"/>
      </w:pPr>
      <w:r>
        <w:t xml:space="preserve">31 - Telecommunication and Electronic Services</w:t>
      </w:r>
    </w:p>
    <w:p>
      <w:pPr>
        <w:pStyle w:val="FirstParagraph"/>
      </w:pPr>
      <w:r>
        <w:t xml:space="preserve">Place of Supply</w:t>
      </w:r>
    </w:p>
    <w:p>
      <w:pPr>
        <w:numPr>
          <w:ilvl w:val="0"/>
          <w:numId w:val="1010"/>
        </w:numPr>
        <w:pStyle w:val="Compact"/>
      </w:pPr>
      <w:r>
        <w:t xml:space="preserve">Inside/Outside the State → to the extent of the use and enjoyment of the supply in the state/outside the state</w:t>
      </w:r>
    </w:p>
    <w:p>
      <w:pPr>
        <w:numPr>
          <w:ilvl w:val="0"/>
          <w:numId w:val="1010"/>
        </w:numPr>
        <w:pStyle w:val="Compact"/>
      </w:pPr>
      <w:r>
        <w:t xml:space="preserve">Regardless of the place of contract or payment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obsidian://open?vault=Obsidian%20Vault&amp;file=Pasted%20image%2020230228222058.png" TargetMode="External" /><Relationship Type="http://schemas.openxmlformats.org/officeDocument/2006/relationships/hyperlink" Id="rId31" Target="obsidian://open?vault=Obsidian%20Vault&amp;file=Pasted%20image%2020230228222650.png" TargetMode="External" /><Relationship Type="http://schemas.openxmlformats.org/officeDocument/2006/relationships/hyperlink" Id="rId27" Target="obsidian://open?vault=Obsidian%20Vault&amp;file=Pasted%20image%2020230228223048.png" TargetMode="External" /><Relationship Type="http://schemas.openxmlformats.org/officeDocument/2006/relationships/hyperlink" Id="rId33" Target="obsidian://open?vault=Obsidian%20Vault&amp;file=Pasted%20image%2020230228224123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obsidian://open?vault=Obsidian%20Vault&amp;file=Pasted%20image%2020230228222058.png" TargetMode="External" /><Relationship Type="http://schemas.openxmlformats.org/officeDocument/2006/relationships/hyperlink" Id="rId31" Target="obsidian://open?vault=Obsidian%20Vault&amp;file=Pasted%20image%2020230228222650.png" TargetMode="External" /><Relationship Type="http://schemas.openxmlformats.org/officeDocument/2006/relationships/hyperlink" Id="rId27" Target="obsidian://open?vault=Obsidian%20Vault&amp;file=Pasted%20image%2020230228223048.png" TargetMode="External" /><Relationship Type="http://schemas.openxmlformats.org/officeDocument/2006/relationships/hyperlink" Id="rId33" Target="obsidian://open?vault=Obsidian%20Vault&amp;file=Pasted%20image%2020230228224123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of Supply</dc:title>
  <dc:creator/>
  <cp:keywords/>
  <dcterms:created xsi:type="dcterms:W3CDTF">2023-03-02T10:59:11Z</dcterms:created>
  <dcterms:modified xsi:type="dcterms:W3CDTF">2023-03-02T10:59:11Z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