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numPr>
          <w:ilvl w:val="0"/>
          <w:numId w:val="1"/>
        </w:numPr>
        <w:spacing w:before="0" w:after="280"/>
        <w:rPr>
          <w:rFonts w:ascii="CMR10" w:hAnsi="CMR10"/>
          <w:sz w:val="20"/>
          <w:szCs w:val="20"/>
        </w:rPr>
      </w:pPr>
      <w:r>
        <w:rPr>
          <w:rFonts w:ascii="CMR10" w:hAnsi="CMR10"/>
          <w:sz w:val="20"/>
          <w:szCs w:val="20"/>
        </w:rPr>
        <w:t>Name, email</w:t>
      </w:r>
      <w:r>
        <w:rPr>
          <w:rFonts w:ascii="CMR10" w:hAnsi="CMR10"/>
          <w:sz w:val="20"/>
          <w:szCs w:val="20"/>
          <w:lang w:val="da-DK"/>
        </w:rPr>
        <w:t>:</w:t>
      </w:r>
    </w:p>
    <w:p>
      <w:pPr>
        <w:pStyle w:val="NormalWeb"/>
        <w:spacing w:before="280" w:after="280"/>
        <w:ind w:left="360" w:hanging="0"/>
        <w:rPr>
          <w:rFonts w:ascii="CMR10" w:hAnsi="CMR10"/>
          <w:sz w:val="20"/>
          <w:szCs w:val="20"/>
        </w:rPr>
      </w:pPr>
      <w:r>
        <w:rPr>
          <w:rFonts w:ascii="CMR10" w:hAnsi="CMR10"/>
          <w:sz w:val="20"/>
          <w:szCs w:val="20"/>
        </w:rPr>
      </w:r>
    </w:p>
    <w:p>
      <w:pPr>
        <w:pStyle w:val="NormalWeb"/>
        <w:numPr>
          <w:ilvl w:val="0"/>
          <w:numId w:val="1"/>
        </w:numPr>
        <w:spacing w:before="280" w:after="280"/>
        <w:rPr>
          <w:rFonts w:ascii="CMR10" w:hAnsi="CMR10"/>
          <w:sz w:val="20"/>
          <w:szCs w:val="20"/>
        </w:rPr>
      </w:pPr>
      <w:r>
        <w:rPr>
          <w:rFonts w:ascii="CMR10" w:hAnsi="CMR10"/>
          <w:sz w:val="20"/>
          <w:szCs w:val="20"/>
        </w:rPr>
        <w:t xml:space="preserve">Xtext Grammar: </w:t>
      </w:r>
    </w:p>
    <w:p>
      <w:pPr>
        <w:pStyle w:val="NormalWeb"/>
        <w:spacing w:before="280" w:after="280"/>
        <w:ind w:left="1440" w:hanging="0"/>
        <w:rPr>
          <w:rFonts w:ascii="CMR10" w:hAnsi="CMR10"/>
          <w:sz w:val="20"/>
          <w:szCs w:val="20"/>
        </w:rPr>
      </w:pPr>
      <w:r>
        <w:rPr>
          <w:rFonts w:ascii="CMR10" w:hAnsi="CMR10"/>
          <w:sz w:val="20"/>
          <w:szCs w:val="20"/>
        </w:rPr>
        <w:t xml:space="preserve">(a)  Does your grammar support all of the example programs? If not what are the limitations? </w:t>
      </w:r>
    </w:p>
    <w:p>
      <w:pPr>
        <w:pStyle w:val="NormalWeb"/>
        <w:spacing w:before="280" w:after="280"/>
        <w:ind w:left="1440" w:hanging="0"/>
        <w:rPr>
          <w:rFonts w:ascii="CMR10" w:hAnsi="CMR10"/>
          <w:sz w:val="20"/>
          <w:szCs w:val="20"/>
        </w:rPr>
      </w:pPr>
      <w:r>
        <w:rPr>
          <w:rFonts w:ascii="CMR10" w:hAnsi="CMR10"/>
          <w:sz w:val="20"/>
          <w:szCs w:val="20"/>
        </w:rPr>
        <w:t xml:space="preserve">(b)  How did you implement operator precedence and associativity? </w:t>
      </w:r>
    </w:p>
    <w:p>
      <w:pPr>
        <w:pStyle w:val="NormalWeb"/>
        <w:spacing w:before="280" w:after="280"/>
        <w:ind w:left="1440" w:hanging="0"/>
        <w:rPr>
          <w:rFonts w:ascii="CMR10" w:hAnsi="CMR10"/>
          <w:sz w:val="20"/>
          <w:szCs w:val="20"/>
        </w:rPr>
      </w:pPr>
      <w:r>
        <w:rPr>
          <w:rFonts w:ascii="CMR10" w:hAnsi="CMR10"/>
          <w:sz w:val="20"/>
          <w:szCs w:val="20"/>
        </w:rPr>
        <w:t>(c)  How did you implement the syntax of variables (</w:t>
      </w:r>
      <w:r>
        <w:rPr>
          <w:rFonts w:ascii="CMTT10" w:hAnsi="CMTT10"/>
          <w:sz w:val="20"/>
          <w:szCs w:val="20"/>
        </w:rPr>
        <w:t xml:space="preserve">ID </w:t>
      </w:r>
      <w:r>
        <w:rPr>
          <w:rFonts w:ascii="CMR10" w:hAnsi="CMR10"/>
          <w:sz w:val="20"/>
          <w:szCs w:val="20"/>
        </w:rPr>
        <w:t xml:space="preserve">in rule </w:t>
      </w:r>
      <w:r>
        <w:rPr>
          <w:rFonts w:ascii="CMTT10" w:hAnsi="CMTT10"/>
          <w:sz w:val="20"/>
          <w:szCs w:val="20"/>
        </w:rPr>
        <w:t xml:space="preserve">Exp </w:t>
      </w:r>
      <w:r>
        <w:rPr>
          <w:rFonts w:ascii="CMR10" w:hAnsi="CMR10"/>
          <w:sz w:val="20"/>
          <w:szCs w:val="20"/>
        </w:rPr>
        <w:t xml:space="preserve">of the </w:t>
      </w:r>
      <w:r>
        <w:rPr>
          <w:rFonts w:eastAsia="Times New Roman" w:cs="Times New Roman" w:ascii="CMR10" w:hAnsi="CMR10"/>
          <w:sz w:val="20"/>
          <w:szCs w:val="20"/>
          <w:lang w:eastAsia="en-GB"/>
        </w:rPr>
        <w:t>IF22</w:t>
      </w:r>
      <w:r>
        <w:rPr>
          <w:rFonts w:ascii="CMR10" w:hAnsi="CMR10"/>
          <w:sz w:val="20"/>
          <w:szCs w:val="20"/>
        </w:rPr>
        <w:t xml:space="preserve"> BNF), such that they can refer both to parameters of </w:t>
      </w:r>
      <w:r>
        <w:rPr>
          <w:rFonts w:eastAsia="Times New Roman" w:cs="Times New Roman" w:ascii="CMR10" w:hAnsi="CMR10"/>
          <w:sz w:val="20"/>
          <w:szCs w:val="20"/>
          <w:lang w:eastAsia="en-GB"/>
        </w:rPr>
        <w:t>scenarios and local variables</w:t>
      </w:r>
      <w:r>
        <w:rPr>
          <w:rFonts w:ascii="CMR10" w:hAnsi="CMR10"/>
          <w:sz w:val="20"/>
          <w:szCs w:val="20"/>
        </w:rPr>
        <w:t>?</w:t>
      </w:r>
    </w:p>
    <w:p>
      <w:pPr>
        <w:pStyle w:val="NormalWeb"/>
        <w:spacing w:before="280" w:after="280"/>
        <w:ind w:left="1440" w:hanging="0"/>
        <w:rPr>
          <w:rFonts w:ascii="CMR10" w:hAnsi="CMR10"/>
          <w:sz w:val="20"/>
          <w:szCs w:val="20"/>
        </w:rPr>
      </w:pPr>
      <w:r>
        <w:rPr>
          <w:rFonts w:ascii="CMR10" w:hAnsi="CMR10"/>
          <w:sz w:val="20"/>
          <w:szCs w:val="20"/>
        </w:rPr>
        <w:t>(</w:t>
      </w:r>
      <w:r>
        <w:rPr>
          <w:rFonts w:ascii="CMR10" w:hAnsi="CMR10"/>
          <w:sz w:val="20"/>
          <w:szCs w:val="20"/>
        </w:rPr>
        <w:t>d</w:t>
      </w:r>
      <w:r>
        <w:rPr>
          <w:rFonts w:ascii="CMR10" w:hAnsi="CMR10"/>
          <w:sz w:val="20"/>
          <w:szCs w:val="20"/>
        </w:rPr>
        <w:t xml:space="preserve">)  How did you implement the syntax of </w:t>
      </w:r>
      <w:r>
        <w:rPr>
          <w:rFonts w:ascii="CMTT10" w:hAnsi="CMTT10"/>
          <w:sz w:val="20"/>
          <w:szCs w:val="20"/>
        </w:rPr>
        <w:t>to</w:t>
      </w:r>
      <w:r>
        <w:rPr>
          <w:rFonts w:ascii="CMTT10" w:hAnsi="CMTT10"/>
          <w:sz w:val="20"/>
          <w:szCs w:val="20"/>
        </w:rPr>
        <w:t xml:space="preserve"> </w:t>
      </w:r>
      <w:r>
        <w:rPr>
          <w:rFonts w:ascii="CMR10" w:hAnsi="CMR10"/>
          <w:sz w:val="20"/>
          <w:szCs w:val="20"/>
        </w:rPr>
        <w:t xml:space="preserve">statements, such that they refer to announcement/question/end/scenario? (first </w:t>
      </w:r>
      <w:r>
        <w:rPr>
          <w:rFonts w:ascii="CMTT10" w:hAnsi="CMTT10"/>
          <w:sz w:val="20"/>
          <w:szCs w:val="20"/>
        </w:rPr>
        <w:t xml:space="preserve">ID </w:t>
      </w:r>
      <w:r>
        <w:rPr>
          <w:rFonts w:ascii="CMR10" w:hAnsi="CMR10"/>
          <w:sz w:val="20"/>
          <w:szCs w:val="20"/>
        </w:rPr>
        <w:t>in r</w:t>
      </w:r>
      <w:r>
        <w:rPr>
          <w:rFonts w:ascii="CMR10" w:hAnsi="CMR10"/>
          <w:sz w:val="20"/>
          <w:szCs w:val="20"/>
        </w:rPr>
        <w:t xml:space="preserve">ule </w:t>
      </w:r>
      <w:r>
        <w:rPr>
          <w:rFonts w:ascii="CMTT10" w:hAnsi="CMTT10"/>
          <w:sz w:val="20"/>
          <w:szCs w:val="20"/>
        </w:rPr>
        <w:t>Target</w:t>
      </w:r>
      <w:r>
        <w:rPr>
          <w:rFonts w:ascii="CMTT10" w:hAnsi="CMTT10"/>
          <w:sz w:val="20"/>
          <w:szCs w:val="20"/>
        </w:rPr>
        <w:t xml:space="preserve"> </w:t>
      </w:r>
      <w:r>
        <w:rPr>
          <w:rFonts w:ascii="CMR10" w:hAnsi="CMR10"/>
          <w:sz w:val="20"/>
          <w:szCs w:val="20"/>
        </w:rPr>
        <w:t xml:space="preserve">of the </w:t>
      </w:r>
      <w:r>
        <w:rPr>
          <w:rFonts w:eastAsia="Times New Roman" w:cs="Times New Roman" w:ascii="CMR10" w:hAnsi="CMR10"/>
          <w:sz w:val="20"/>
          <w:szCs w:val="20"/>
          <w:lang w:eastAsia="en-GB"/>
        </w:rPr>
        <w:t>IF22</w:t>
      </w:r>
      <w:r>
        <w:rPr>
          <w:rFonts w:ascii="CMR10" w:hAnsi="CMR10"/>
          <w:sz w:val="20"/>
          <w:szCs w:val="20"/>
        </w:rPr>
        <w:t xml:space="preserve"> BNF)</w:t>
      </w:r>
    </w:p>
    <w:p>
      <w:pPr>
        <w:pStyle w:val="NormalWeb"/>
        <w:numPr>
          <w:ilvl w:val="0"/>
          <w:numId w:val="1"/>
        </w:numPr>
        <w:spacing w:before="280" w:after="280"/>
        <w:rPr>
          <w:rFonts w:ascii="CMR10" w:hAnsi="CMR10"/>
          <w:sz w:val="20"/>
          <w:szCs w:val="20"/>
        </w:rPr>
      </w:pPr>
      <w:r>
        <w:rPr>
          <w:rFonts w:ascii="CMR10" w:hAnsi="CMR10"/>
          <w:sz w:val="20"/>
          <w:szCs w:val="20"/>
        </w:rPr>
        <w:t xml:space="preserve">Scoping Rules </w:t>
      </w:r>
    </w:p>
    <w:p>
      <w:pPr>
        <w:pStyle w:val="NormalWeb"/>
        <w:spacing w:before="280" w:after="280"/>
        <w:ind w:left="1440" w:hanging="0"/>
        <w:rPr>
          <w:rFonts w:ascii="CMR10" w:hAnsi="CMR10"/>
          <w:sz w:val="20"/>
          <w:szCs w:val="20"/>
        </w:rPr>
      </w:pPr>
      <w:r>
        <w:rPr>
          <w:rFonts w:ascii="CMR10" w:hAnsi="CMR10"/>
          <w:sz w:val="20"/>
          <w:szCs w:val="20"/>
        </w:rPr>
        <w:t xml:space="preserve">(a)  Did you implement scoping rules that allow variables to refer to variable definition and scenario parameters? If not, what are the limitations? </w:t>
      </w:r>
    </w:p>
    <w:p>
      <w:pPr>
        <w:pStyle w:val="NormalWeb"/>
        <w:spacing w:before="280" w:after="280"/>
        <w:ind w:left="1440" w:hanging="0"/>
        <w:rPr>
          <w:rFonts w:ascii="CMR10" w:hAnsi="CMR10"/>
          <w:sz w:val="20"/>
          <w:szCs w:val="20"/>
        </w:rPr>
      </w:pPr>
      <w:r>
        <w:rPr>
          <w:rFonts w:ascii="CMR10" w:hAnsi="CMR10"/>
          <w:sz w:val="20"/>
          <w:szCs w:val="20"/>
        </w:rPr>
        <w:t xml:space="preserve">(b)  Did you implement scoping rules that allow announcement and question statements to call scenarios and reference the called scenario end statements? If not, what are the limitations? </w:t>
      </w:r>
    </w:p>
    <w:p>
      <w:pPr>
        <w:pStyle w:val="NormalWeb"/>
        <w:spacing w:before="280" w:after="280"/>
        <w:ind w:left="1440" w:hanging="0"/>
        <w:rPr>
          <w:rFonts w:ascii="CMR10" w:hAnsi="CMR10"/>
          <w:sz w:val="20"/>
          <w:szCs w:val="20"/>
        </w:rPr>
      </w:pPr>
      <w:r>
        <w:rPr>
          <w:rFonts w:ascii="CMR10" w:hAnsi="CMR10"/>
          <w:sz w:val="20"/>
          <w:szCs w:val="20"/>
        </w:rPr>
        <w:t>(</w:t>
      </w:r>
      <w:r>
        <w:rPr>
          <w:rFonts w:ascii="CMR10" w:hAnsi="CMR10"/>
          <w:sz w:val="20"/>
          <w:szCs w:val="20"/>
        </w:rPr>
        <w:t>c</w:t>
      </w:r>
      <w:r>
        <w:rPr>
          <w:rFonts w:ascii="CMR10" w:hAnsi="CMR10"/>
          <w:sz w:val="20"/>
          <w:szCs w:val="20"/>
        </w:rPr>
        <w:t>)  Describe your implementation of any scoping rules included with your system.</w:t>
      </w:r>
    </w:p>
    <w:p>
      <w:pPr>
        <w:pStyle w:val="NormalWeb"/>
        <w:numPr>
          <w:ilvl w:val="0"/>
          <w:numId w:val="1"/>
        </w:numPr>
        <w:spacing w:before="280" w:after="280"/>
        <w:rPr>
          <w:rFonts w:ascii="CMR10" w:hAnsi="CMR10"/>
          <w:sz w:val="20"/>
          <w:szCs w:val="20"/>
        </w:rPr>
      </w:pPr>
      <w:r>
        <w:rPr>
          <w:rFonts w:ascii="CMR10" w:hAnsi="CMR10"/>
          <w:sz w:val="20"/>
          <w:szCs w:val="20"/>
        </w:rPr>
        <w:t xml:space="preserve">Type Inference </w:t>
      </w:r>
    </w:p>
    <w:p>
      <w:pPr>
        <w:pStyle w:val="NormalWeb"/>
        <w:spacing w:before="280" w:after="280"/>
        <w:ind w:left="1440" w:hanging="0"/>
        <w:rPr>
          <w:rFonts w:ascii="CMR10" w:hAnsi="CMR10"/>
          <w:sz w:val="20"/>
          <w:szCs w:val="20"/>
        </w:rPr>
      </w:pPr>
      <w:r>
        <w:rPr>
          <w:rFonts w:ascii="CMR10" w:hAnsi="CMR10"/>
          <w:sz w:val="20"/>
          <w:szCs w:val="20"/>
        </w:rPr>
        <w:t>(a)  What validation rule did you implement, if any?</w:t>
      </w:r>
    </w:p>
    <w:p>
      <w:pPr>
        <w:pStyle w:val="NormalWeb"/>
        <w:spacing w:before="280" w:after="280"/>
        <w:ind w:left="1440" w:hanging="0"/>
        <w:rPr>
          <w:rFonts w:ascii="CMR10" w:hAnsi="CMR10"/>
          <w:sz w:val="20"/>
          <w:szCs w:val="20"/>
        </w:rPr>
      </w:pPr>
      <w:r>
        <w:rPr>
          <w:rFonts w:ascii="CMR10" w:hAnsi="CMR10"/>
          <w:sz w:val="20"/>
          <w:szCs w:val="20"/>
        </w:rPr>
        <w:t xml:space="preserve">(b)   Did you implement validation for the correct use of keywords such as </w:t>
      </w:r>
      <w:r>
        <w:rPr>
          <w:rFonts w:ascii="CMTT10" w:hAnsi="CMTT10"/>
          <w:sz w:val="20"/>
          <w:szCs w:val="20"/>
        </w:rPr>
        <w:t>this</w:t>
      </w:r>
      <w:r>
        <w:rPr>
          <w:rFonts w:ascii="CMR10" w:hAnsi="CMR10"/>
          <w:sz w:val="20"/>
          <w:szCs w:val="20"/>
        </w:rPr>
        <w:t xml:space="preserve"> and Type keywords (</w:t>
      </w:r>
      <w:r>
        <w:rPr>
          <w:rFonts w:ascii="CMTT10" w:hAnsi="CMTT10"/>
          <w:sz w:val="20"/>
          <w:szCs w:val="20"/>
        </w:rPr>
        <w:t>number, text</w:t>
      </w:r>
      <w:r>
        <w:rPr>
          <w:rFonts w:ascii="CMR10" w:hAnsi="CMR10"/>
          <w:sz w:val="20"/>
          <w:szCs w:val="20"/>
        </w:rPr>
        <w:t>)? If not, what are the limitations? If yes, briefly describe your approach</w:t>
      </w:r>
    </w:p>
    <w:p>
      <w:pPr>
        <w:pStyle w:val="NormalWeb"/>
        <w:spacing w:before="280" w:after="280"/>
        <w:ind w:left="1440" w:hanging="0"/>
        <w:rPr>
          <w:rFonts w:ascii="CMR10" w:hAnsi="CMR10"/>
          <w:sz w:val="20"/>
          <w:szCs w:val="20"/>
        </w:rPr>
      </w:pPr>
      <w:r>
        <w:rPr>
          <w:rFonts w:ascii="CMR10" w:hAnsi="CMR10"/>
          <w:sz w:val="20"/>
          <w:szCs w:val="20"/>
        </w:rPr>
        <w:t>(c) Did you implement validation with type inferencing? If yes, does it correctly check the types for all expressions (including input validation and conditions) in the provided IF22 examples? If not, what are the problems?</w:t>
      </w:r>
    </w:p>
    <w:p>
      <w:pPr>
        <w:pStyle w:val="NormalWeb"/>
        <w:spacing w:before="280" w:after="280"/>
        <w:ind w:left="1440" w:hanging="0"/>
        <w:rPr>
          <w:rFonts w:ascii="CMR10" w:hAnsi="CMR10"/>
          <w:sz w:val="20"/>
          <w:szCs w:val="20"/>
        </w:rPr>
      </w:pPr>
      <w:r>
        <w:rPr>
          <w:rFonts w:ascii="CMR10" w:hAnsi="CMR10"/>
          <w:sz w:val="20"/>
          <w:szCs w:val="20"/>
        </w:rPr>
        <w:t>(d) If you implemented validation with type inferencing, briefly describe your approach.</w:t>
      </w:r>
    </w:p>
    <w:p>
      <w:pPr>
        <w:pStyle w:val="NormalWeb"/>
        <w:numPr>
          <w:ilvl w:val="0"/>
          <w:numId w:val="1"/>
        </w:numPr>
        <w:spacing w:before="280" w:after="280"/>
        <w:rPr>
          <w:rFonts w:ascii="CMR10" w:hAnsi="CMR10"/>
          <w:sz w:val="20"/>
          <w:szCs w:val="20"/>
        </w:rPr>
      </w:pPr>
      <w:r>
        <w:rPr>
          <w:rFonts w:ascii="CMR10" w:hAnsi="CMR10"/>
          <w:sz w:val="20"/>
          <w:szCs w:val="20"/>
        </w:rPr>
        <w:t xml:space="preserve">Generator </w:t>
      </w:r>
    </w:p>
    <w:p>
      <w:pPr>
        <w:pStyle w:val="NormalWeb"/>
        <w:spacing w:before="280" w:after="280"/>
        <w:ind w:left="1440" w:hanging="0"/>
        <w:rPr>
          <w:rFonts w:ascii="CMR10" w:hAnsi="CMR10"/>
          <w:sz w:val="20"/>
          <w:szCs w:val="20"/>
        </w:rPr>
      </w:pPr>
      <w:r>
        <w:rPr>
          <w:rFonts w:ascii="CMR10" w:hAnsi="CMR10"/>
          <w:sz w:val="20"/>
          <w:szCs w:val="20"/>
        </w:rPr>
        <w:t xml:space="preserve">(a)  Does your code generator correctly generate code for all of the ex- amples provided, and are you confident that it will also work for “similar” programs? If not, then what limitations are there? </w:t>
      </w:r>
    </w:p>
    <w:p>
      <w:pPr>
        <w:pStyle w:val="NormalWeb"/>
        <w:spacing w:before="280" w:after="280"/>
        <w:ind w:left="1440" w:hanging="0"/>
        <w:rPr>
          <w:rFonts w:ascii="CMR10" w:hAnsi="CMR10"/>
          <w:sz w:val="20"/>
          <w:szCs w:val="20"/>
        </w:rPr>
      </w:pPr>
      <w:r>
        <w:rPr>
          <w:rFonts w:ascii="CMR10" w:hAnsi="CMR10"/>
          <w:sz w:val="20"/>
          <w:szCs w:val="20"/>
        </w:rPr>
        <w:t xml:space="preserve">(b)  Briefly describe how your code generator works. </w:t>
      </w:r>
    </w:p>
    <w:p>
      <w:pPr>
        <w:pStyle w:val="NormalWeb"/>
        <w:numPr>
          <w:ilvl w:val="0"/>
          <w:numId w:val="1"/>
        </w:numPr>
        <w:spacing w:before="280" w:after="280"/>
        <w:rPr>
          <w:rFonts w:ascii="CMR10" w:hAnsi="CMR10"/>
          <w:sz w:val="20"/>
          <w:szCs w:val="20"/>
        </w:rPr>
      </w:pPr>
      <w:r>
        <w:rPr>
          <w:rFonts w:ascii="CMR10" w:hAnsi="CMR10"/>
          <w:sz w:val="20"/>
          <w:szCs w:val="20"/>
        </w:rPr>
        <w:t xml:space="preserve">Implementation: include your xtext grammar file and all implemented Xtend files (scoping, type inference, generator) verbatim. </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MR10">
    <w:charset w:val="01"/>
    <w:family w:val="roman"/>
    <w:pitch w:val="variable"/>
  </w:font>
  <w:font w:name="CMTT1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DK"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27b11"/>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Pages>
  <Words>303</Words>
  <Characters>1601</Characters>
  <CharactersWithSpaces>1902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2021-06-08T21:56:00Z</dcterms:created>
  <dc:creator>Ulrik Pagh Schultz</dc:creator>
  <dc:description/>
  <dc:language>en-US</dc:language>
  <cp:lastModifiedBy/>
  <dcterms:modified xsi:type="dcterms:W3CDTF">2022-05-27T22:52:24Z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