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AF01E0">
        <w:rPr>
          <w:b/>
          <w:noProof/>
          <w:sz w:val="24"/>
        </w:rPr>
        <w:t>07/06/2015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bookmarkStart w:id="2" w:name="_GoBack"/>
        <w:bookmarkEnd w:id="2"/>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5ADBAD55" w:rsidR="009D045D" w:rsidRPr="005D6E63" w:rsidRDefault="00AF01E0" w:rsidP="005432D7">
            <w:pPr>
              <w:pStyle w:val="BodyText1"/>
              <w:jc w:val="center"/>
              <w:rPr>
                <w:color w:val="000000" w:themeColor="text1"/>
                <w:sz w:val="22"/>
                <w:szCs w:val="22"/>
              </w:rPr>
            </w:pPr>
            <w:r>
              <w:rPr>
                <w:color w:val="000000" w:themeColor="text1"/>
                <w:sz w:val="22"/>
                <w:szCs w:val="22"/>
              </w:rPr>
              <w:t>6</w:t>
            </w:r>
          </w:p>
        </w:tc>
        <w:tc>
          <w:tcPr>
            <w:tcW w:w="1984" w:type="dxa"/>
            <w:tcBorders>
              <w:top w:val="single" w:sz="4" w:space="0" w:color="auto"/>
              <w:left w:val="single" w:sz="4" w:space="0" w:color="auto"/>
              <w:bottom w:val="single" w:sz="4" w:space="0" w:color="auto"/>
              <w:right w:val="single" w:sz="4" w:space="0" w:color="auto"/>
            </w:tcBorders>
          </w:tcPr>
          <w:p w14:paraId="504296B5" w14:textId="38957710" w:rsidR="009D045D" w:rsidRPr="005D6E63" w:rsidRDefault="00AF01E0" w:rsidP="005432D7">
            <w:pPr>
              <w:pStyle w:val="BodyText1"/>
              <w:jc w:val="center"/>
              <w:rPr>
                <w:color w:val="000000" w:themeColor="text1"/>
                <w:sz w:val="22"/>
                <w:szCs w:val="22"/>
              </w:rPr>
            </w:pPr>
            <w:r>
              <w:rPr>
                <w:color w:val="000000" w:themeColor="text1"/>
                <w:sz w:val="22"/>
                <w:szCs w:val="22"/>
              </w:rPr>
              <w:t>07/06/2015</w:t>
            </w:r>
          </w:p>
        </w:tc>
        <w:tc>
          <w:tcPr>
            <w:tcW w:w="3686" w:type="dxa"/>
            <w:tcBorders>
              <w:top w:val="single" w:sz="4" w:space="0" w:color="auto"/>
              <w:left w:val="single" w:sz="4" w:space="0" w:color="auto"/>
              <w:bottom w:val="single" w:sz="4" w:space="0" w:color="auto"/>
              <w:right w:val="single" w:sz="4" w:space="0" w:color="auto"/>
            </w:tcBorders>
          </w:tcPr>
          <w:p w14:paraId="259C8B4D" w14:textId="5BF51F2E" w:rsidR="009D045D" w:rsidRPr="005D6E63" w:rsidRDefault="00AF01E0" w:rsidP="00B93169">
            <w:pPr>
              <w:pStyle w:val="BodyText1"/>
              <w:jc w:val="center"/>
              <w:rPr>
                <w:color w:val="000000" w:themeColor="text1"/>
                <w:sz w:val="22"/>
                <w:szCs w:val="22"/>
              </w:rPr>
            </w:pPr>
            <w:r>
              <w:rPr>
                <w:color w:val="000000" w:themeColor="text1"/>
                <w:sz w:val="22"/>
                <w:szCs w:val="22"/>
              </w:rPr>
              <w:t>Adição do IC Revisões de Requisitos</w:t>
            </w:r>
          </w:p>
        </w:tc>
        <w:tc>
          <w:tcPr>
            <w:tcW w:w="1491" w:type="dxa"/>
            <w:tcBorders>
              <w:top w:val="single" w:sz="4" w:space="0" w:color="auto"/>
              <w:left w:val="single" w:sz="4" w:space="0" w:color="auto"/>
              <w:bottom w:val="single" w:sz="4" w:space="0" w:color="auto"/>
              <w:right w:val="single" w:sz="4" w:space="0" w:color="auto"/>
            </w:tcBorders>
          </w:tcPr>
          <w:p w14:paraId="0198D1E2" w14:textId="2BAC51F7" w:rsidR="009D045D" w:rsidRPr="005D6E63" w:rsidRDefault="00AF01E0" w:rsidP="005432D7">
            <w:pPr>
              <w:pStyle w:val="BodyText1"/>
              <w:jc w:val="center"/>
              <w:rPr>
                <w:color w:val="000000" w:themeColor="text1"/>
                <w:sz w:val="22"/>
                <w:szCs w:val="22"/>
              </w:rPr>
            </w:pPr>
            <w:r>
              <w:rPr>
                <w:color w:val="000000" w:themeColor="text1"/>
                <w:sz w:val="22"/>
                <w:szCs w:val="22"/>
              </w:rPr>
              <w:t>Moisés</w:t>
            </w: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3" w:name="_Toc442838191"/>
      <w:r w:rsidRPr="00223149">
        <w:rPr>
          <w:b/>
          <w:caps/>
          <w:sz w:val="32"/>
        </w:rPr>
        <w:instrText>Table of Contents</w:instrText>
      </w:r>
      <w:bookmarkEnd w:id="3"/>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4" w:name="_Toc420743756"/>
      <w:r w:rsidRPr="005D6E63">
        <w:rPr>
          <w:sz w:val="32"/>
          <w:u w:val="none"/>
        </w:rPr>
        <w:lastRenderedPageBreak/>
        <w:t>Introdução</w:t>
      </w:r>
      <w:bookmarkEnd w:id="4"/>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5" w:name="_Toc442838192"/>
      <w:r w:rsidRPr="005D6E63">
        <w:rPr>
          <w:b/>
          <w:caps/>
          <w:sz w:val="32"/>
        </w:rPr>
        <w:instrText>1.  Purpose</w:instrText>
      </w:r>
      <w:bookmarkEnd w:id="5"/>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6"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7" w:name="_Toc420743757"/>
      <w:r w:rsidRPr="005D6E63">
        <w:rPr>
          <w:caps/>
          <w:sz w:val="32"/>
          <w:u w:val="none"/>
        </w:rPr>
        <w:t>R</w:t>
      </w:r>
      <w:r w:rsidR="005D6E63" w:rsidRPr="005D6E63">
        <w:rPr>
          <w:sz w:val="32"/>
          <w:u w:val="none"/>
        </w:rPr>
        <w:t>eferências à Documentos, Definições e Acrônimos</w:t>
      </w:r>
      <w:bookmarkEnd w:id="6"/>
      <w:bookmarkEnd w:id="7"/>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8"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8"/>
      <w:r w:rsidRPr="005D6E63">
        <w:rPr>
          <w:rFonts w:ascii="Times New Roman" w:hAnsi="Times New Roman"/>
          <w:szCs w:val="32"/>
        </w:rPr>
        <w:fldChar w:fldCharType="begin"/>
      </w:r>
      <w:r w:rsidRPr="005D6E63">
        <w:rPr>
          <w:rFonts w:ascii="Times New Roman" w:hAnsi="Times New Roman"/>
          <w:szCs w:val="32"/>
        </w:rPr>
        <w:instrText>tc "</w:instrText>
      </w:r>
      <w:bookmarkStart w:id="9" w:name="_Toc442838193"/>
      <w:r w:rsidRPr="005D6E63">
        <w:rPr>
          <w:rFonts w:ascii="Times New Roman" w:hAnsi="Times New Roman"/>
          <w:szCs w:val="32"/>
        </w:rPr>
        <w:instrText>2.1  References</w:instrText>
      </w:r>
      <w:bookmarkEnd w:id="9"/>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344331"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10" w:name="_Toc442838194"/>
      <w:r w:rsidR="009D045D" w:rsidRPr="005D6E63">
        <w:rPr>
          <w:b/>
          <w:sz w:val="28"/>
        </w:rPr>
        <w:instrText>2.2  Definitions</w:instrText>
      </w:r>
      <w:bookmarkEnd w:id="10"/>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1" w:name="_Toc442838195"/>
      <w:r w:rsidRPr="005D6E63">
        <w:rPr>
          <w:b/>
          <w:sz w:val="28"/>
        </w:rPr>
        <w:instrText>2.3  Abbreviations and Acronyms</w:instrText>
      </w:r>
      <w:bookmarkEnd w:id="11"/>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2" w:name="_Toc420743758"/>
      <w:r w:rsidRPr="005D6E63">
        <w:rPr>
          <w:bCs/>
          <w:sz w:val="32"/>
          <w:u w:val="none"/>
        </w:rPr>
        <w:t>Gerenciamento</w:t>
      </w:r>
      <w:bookmarkEnd w:id="12"/>
      <w:r w:rsidR="009D045D" w:rsidRPr="005D6E63">
        <w:rPr>
          <w:caps/>
          <w:sz w:val="32"/>
        </w:rPr>
        <w:fldChar w:fldCharType="begin"/>
      </w:r>
      <w:r w:rsidR="009D045D" w:rsidRPr="005D6E63">
        <w:rPr>
          <w:sz w:val="32"/>
        </w:rPr>
        <w:instrText>tc "</w:instrText>
      </w:r>
      <w:bookmarkStart w:id="13" w:name="_Toc442838196"/>
      <w:r w:rsidR="009D045D" w:rsidRPr="005D6E63">
        <w:rPr>
          <w:caps/>
          <w:sz w:val="32"/>
        </w:rPr>
        <w:instrText>3.  Project Management</w:instrText>
      </w:r>
      <w:bookmarkEnd w:id="13"/>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4" w:name="_Toc442838198"/>
      <w:r w:rsidRPr="009A3B27">
        <w:rPr>
          <w:b/>
          <w:sz w:val="24"/>
          <w:szCs w:val="24"/>
        </w:rPr>
        <w:instrText>3.2  Methodology</w:instrText>
      </w:r>
      <w:bookmarkEnd w:id="14"/>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5" w:name="_Toc442838199"/>
      <w:r w:rsidRPr="005D6E63">
        <w:rPr>
          <w:b/>
          <w:sz w:val="28"/>
        </w:rPr>
        <w:instrText>3.3  Activities and Tasks</w:instrText>
      </w:r>
      <w:bookmarkEnd w:id="15"/>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6" w:name="_Toc214695903"/>
      <w:bookmarkStart w:id="17" w:name="_Toc420743759"/>
      <w:r w:rsidRPr="005D6E63">
        <w:rPr>
          <w:bCs/>
          <w:caps/>
          <w:sz w:val="32"/>
          <w:u w:val="none"/>
        </w:rPr>
        <w:t>A</w:t>
      </w:r>
      <w:r w:rsidR="005D6E63" w:rsidRPr="005D6E63">
        <w:rPr>
          <w:bCs/>
          <w:sz w:val="32"/>
          <w:u w:val="none"/>
        </w:rPr>
        <w:t>tividades</w:t>
      </w:r>
      <w:bookmarkEnd w:id="16"/>
      <w:bookmarkEnd w:id="17"/>
      <w:r w:rsidRPr="005D6E63">
        <w:rPr>
          <w:caps/>
          <w:sz w:val="32"/>
        </w:rPr>
        <w:fldChar w:fldCharType="begin"/>
      </w:r>
      <w:r w:rsidRPr="005D6E63">
        <w:rPr>
          <w:sz w:val="32"/>
        </w:rPr>
        <w:instrText>tc "</w:instrText>
      </w:r>
      <w:bookmarkStart w:id="18" w:name="_Toc442838200"/>
      <w:r w:rsidRPr="005D6E63">
        <w:rPr>
          <w:caps/>
          <w:sz w:val="32"/>
        </w:rPr>
        <w:instrText>4.  Documentation</w:instrText>
      </w:r>
      <w:bookmarkEnd w:id="18"/>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9" w:name="_Toc442838201"/>
      <w:r w:rsidRPr="005D6E63">
        <w:rPr>
          <w:rFonts w:ascii="Times New Roman" w:hAnsi="Times New Roman"/>
          <w:sz w:val="28"/>
        </w:rPr>
        <w:instrText>4.1  Project Notebook</w:instrText>
      </w:r>
      <w:bookmarkEnd w:id="19"/>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20"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20"/>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Pr="00862553" w:rsidRDefault="00DA799D" w:rsidP="00862553">
      <w:pPr>
        <w:pStyle w:val="PargrafodaLista"/>
        <w:widowControl/>
        <w:numPr>
          <w:ilvl w:val="0"/>
          <w:numId w:val="18"/>
        </w:numPr>
        <w:rPr>
          <w:sz w:val="24"/>
          <w:szCs w:val="24"/>
        </w:rPr>
      </w:pPr>
      <w:r>
        <w:rPr>
          <w:sz w:val="24"/>
          <w:szCs w:val="24"/>
        </w:rPr>
        <w:t>Diagramas de Notação UML (asta)</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1"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1"/>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387DAF1B" w14:textId="77777777" w:rsidTr="00A953AA">
        <w:tc>
          <w:tcPr>
            <w:tcW w:w="3914" w:type="dxa"/>
          </w:tcPr>
          <w:p w14:paraId="19C4304C" w14:textId="77777777"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14:paraId="167D8C1C" w14:textId="77777777"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14:paraId="6974BFFF" w14:textId="77777777" w:rsidR="002919DC" w:rsidRPr="00411922" w:rsidRDefault="002919DC" w:rsidP="00DF337B">
            <w:pPr>
              <w:spacing w:before="120" w:after="120"/>
              <w:jc w:val="center"/>
              <w:rPr>
                <w:sz w:val="22"/>
                <w:szCs w:val="22"/>
              </w:rPr>
            </w:pPr>
            <w:r w:rsidRPr="00411922">
              <w:rPr>
                <w:sz w:val="22"/>
                <w:szCs w:val="22"/>
              </w:rPr>
              <w:t>N</w:t>
            </w:r>
          </w:p>
        </w:tc>
        <w:tc>
          <w:tcPr>
            <w:tcW w:w="567" w:type="dxa"/>
          </w:tcPr>
          <w:p w14:paraId="3EF691D2" w14:textId="77777777" w:rsidR="002919DC" w:rsidRPr="00411922" w:rsidRDefault="00971A7A" w:rsidP="00DF337B">
            <w:pPr>
              <w:spacing w:before="120" w:after="120"/>
              <w:jc w:val="center"/>
              <w:rPr>
                <w:sz w:val="22"/>
                <w:szCs w:val="22"/>
              </w:rPr>
            </w:pPr>
            <w:r>
              <w:rPr>
                <w:sz w:val="22"/>
                <w:szCs w:val="22"/>
              </w:rPr>
              <w:t>A</w:t>
            </w:r>
          </w:p>
        </w:tc>
        <w:tc>
          <w:tcPr>
            <w:tcW w:w="1134" w:type="dxa"/>
          </w:tcPr>
          <w:p w14:paraId="14450C9E"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801CF62"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847AF41" w14:textId="77777777" w:rsidTr="00A953AA">
        <w:tc>
          <w:tcPr>
            <w:tcW w:w="3914" w:type="dxa"/>
          </w:tcPr>
          <w:p w14:paraId="48B363BE" w14:textId="77777777" w:rsidR="002919DC" w:rsidRPr="00411922" w:rsidRDefault="002919DC" w:rsidP="00DF337B">
            <w:pPr>
              <w:spacing w:before="120" w:after="120"/>
              <w:jc w:val="center"/>
              <w:rPr>
                <w:sz w:val="22"/>
                <w:szCs w:val="22"/>
              </w:rPr>
            </w:pPr>
            <w:r w:rsidRPr="00411922">
              <w:rPr>
                <w:sz w:val="22"/>
                <w:szCs w:val="22"/>
              </w:rPr>
              <w:t>Histórico de SARs</w:t>
            </w:r>
          </w:p>
        </w:tc>
        <w:tc>
          <w:tcPr>
            <w:tcW w:w="1157" w:type="dxa"/>
            <w:vAlign w:val="center"/>
          </w:tcPr>
          <w:p w14:paraId="25064E0F" w14:textId="77777777" w:rsidR="002919DC" w:rsidRPr="00411922" w:rsidRDefault="002919DC" w:rsidP="00DF337B">
            <w:pPr>
              <w:spacing w:before="120" w:after="120"/>
              <w:jc w:val="center"/>
              <w:rPr>
                <w:sz w:val="22"/>
                <w:szCs w:val="22"/>
              </w:rPr>
            </w:pPr>
            <w:r w:rsidRPr="00411922">
              <w:rPr>
                <w:sz w:val="22"/>
                <w:szCs w:val="22"/>
              </w:rPr>
              <w:t>HSARs</w:t>
            </w:r>
          </w:p>
        </w:tc>
        <w:tc>
          <w:tcPr>
            <w:tcW w:w="709" w:type="dxa"/>
            <w:vAlign w:val="center"/>
          </w:tcPr>
          <w:p w14:paraId="7DED6DB6"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96DE46"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ED9E058"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78083A9"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r w:rsidRPr="00411922">
              <w:rPr>
                <w:sz w:val="22"/>
                <w:szCs w:val="22"/>
              </w:rPr>
              <w:t>docx</w:t>
            </w:r>
          </w:p>
        </w:tc>
      </w:tr>
      <w:tr w:rsidR="00AF01E0" w14:paraId="218F21F0" w14:textId="77777777" w:rsidTr="00A953AA">
        <w:tc>
          <w:tcPr>
            <w:tcW w:w="3914" w:type="dxa"/>
          </w:tcPr>
          <w:p w14:paraId="09C62A30" w14:textId="5CF86673" w:rsidR="00AF01E0" w:rsidRPr="00411922" w:rsidRDefault="00AF01E0" w:rsidP="00DF337B">
            <w:pPr>
              <w:spacing w:before="120" w:after="120"/>
              <w:jc w:val="center"/>
              <w:rPr>
                <w:sz w:val="22"/>
                <w:szCs w:val="22"/>
              </w:rPr>
            </w:pPr>
            <w:r>
              <w:rPr>
                <w:sz w:val="22"/>
                <w:szCs w:val="22"/>
              </w:rPr>
              <w:t>Revisões de Requisitos</w:t>
            </w:r>
          </w:p>
        </w:tc>
        <w:tc>
          <w:tcPr>
            <w:tcW w:w="1157" w:type="dxa"/>
            <w:vAlign w:val="center"/>
          </w:tcPr>
          <w:p w14:paraId="124D2DE2" w14:textId="407F28C9" w:rsidR="00AF01E0" w:rsidRPr="00411922" w:rsidRDefault="00AF01E0" w:rsidP="00DF337B">
            <w:pPr>
              <w:spacing w:before="120" w:after="120"/>
              <w:jc w:val="center"/>
              <w:rPr>
                <w:sz w:val="22"/>
                <w:szCs w:val="22"/>
              </w:rPr>
            </w:pPr>
            <w:r>
              <w:rPr>
                <w:sz w:val="22"/>
                <w:szCs w:val="22"/>
              </w:rPr>
              <w:t>RR</w:t>
            </w:r>
          </w:p>
        </w:tc>
        <w:tc>
          <w:tcPr>
            <w:tcW w:w="709" w:type="dxa"/>
            <w:vAlign w:val="center"/>
          </w:tcPr>
          <w:p w14:paraId="35E604A7" w14:textId="694C8D25" w:rsidR="00AF01E0" w:rsidRPr="00411922" w:rsidRDefault="00AF01E0" w:rsidP="00DF337B">
            <w:pPr>
              <w:spacing w:before="120" w:after="120"/>
              <w:jc w:val="center"/>
              <w:rPr>
                <w:sz w:val="22"/>
                <w:szCs w:val="22"/>
              </w:rPr>
            </w:pPr>
            <w:r>
              <w:rPr>
                <w:sz w:val="22"/>
                <w:szCs w:val="22"/>
              </w:rPr>
              <w:t>1</w:t>
            </w:r>
          </w:p>
        </w:tc>
        <w:tc>
          <w:tcPr>
            <w:tcW w:w="567" w:type="dxa"/>
          </w:tcPr>
          <w:p w14:paraId="544D546E" w14:textId="38CFB463" w:rsidR="00AF01E0" w:rsidRDefault="00AF01E0" w:rsidP="00DF337B">
            <w:pPr>
              <w:keepNext/>
              <w:spacing w:before="120" w:after="120"/>
              <w:jc w:val="center"/>
              <w:rPr>
                <w:sz w:val="22"/>
                <w:szCs w:val="22"/>
              </w:rPr>
            </w:pPr>
            <w:r>
              <w:rPr>
                <w:sz w:val="22"/>
                <w:szCs w:val="22"/>
              </w:rPr>
              <w:t>A</w:t>
            </w:r>
          </w:p>
        </w:tc>
        <w:tc>
          <w:tcPr>
            <w:tcW w:w="1134" w:type="dxa"/>
          </w:tcPr>
          <w:p w14:paraId="35ACF107" w14:textId="4B8F0126" w:rsidR="00AF01E0" w:rsidRPr="00971A7A" w:rsidRDefault="00AF01E0" w:rsidP="00DF337B">
            <w:pPr>
              <w:keepNext/>
              <w:spacing w:before="120" w:after="120"/>
              <w:jc w:val="center"/>
              <w:rPr>
                <w:sz w:val="22"/>
                <w:szCs w:val="22"/>
              </w:rPr>
            </w:pPr>
            <w:r w:rsidRPr="00971A7A">
              <w:rPr>
                <w:sz w:val="22"/>
                <w:szCs w:val="22"/>
              </w:rPr>
              <w:t>2.1.1.1</w:t>
            </w:r>
          </w:p>
        </w:tc>
        <w:tc>
          <w:tcPr>
            <w:tcW w:w="709" w:type="dxa"/>
            <w:vAlign w:val="center"/>
          </w:tcPr>
          <w:p w14:paraId="46A7770E" w14:textId="482BFED3" w:rsidR="00AF01E0" w:rsidRPr="00411922" w:rsidRDefault="00AF01E0" w:rsidP="00DF337B">
            <w:pPr>
              <w:keepNext/>
              <w:spacing w:before="120" w:after="120"/>
              <w:jc w:val="center"/>
              <w:rPr>
                <w:sz w:val="22"/>
                <w:szCs w:val="22"/>
              </w:rPr>
            </w:pPr>
            <w:r>
              <w:rPr>
                <w:sz w:val="22"/>
                <w:szCs w:val="22"/>
              </w:rPr>
              <w:t>xlsx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lastRenderedPageBreak/>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AD28F8" w14:paraId="65D4E156" w14:textId="77777777" w:rsidTr="00737E27">
        <w:tc>
          <w:tcPr>
            <w:tcW w:w="3914" w:type="dxa"/>
          </w:tcPr>
          <w:p w14:paraId="77C23D19" w14:textId="77777777" w:rsidR="00AD28F8" w:rsidRPr="00411922" w:rsidRDefault="00AD28F8" w:rsidP="00DF337B">
            <w:pPr>
              <w:spacing w:before="120" w:after="120"/>
              <w:jc w:val="center"/>
              <w:rPr>
                <w:sz w:val="22"/>
                <w:szCs w:val="22"/>
              </w:rPr>
            </w:pPr>
            <w:r>
              <w:rPr>
                <w:sz w:val="22"/>
                <w:szCs w:val="22"/>
              </w:rPr>
              <w:t>Diagrama de Classe</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737E27">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tcPr>
          <w:p w14:paraId="7631DA98"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DF337B">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tcPr>
          <w:p w14:paraId="2D227FFA"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77777777" w:rsidR="00DF337B" w:rsidRPr="00411922" w:rsidRDefault="00DF337B" w:rsidP="00DF337B">
            <w:pPr>
              <w:spacing w:before="120" w:after="120"/>
              <w:jc w:val="center"/>
              <w:rPr>
                <w:sz w:val="22"/>
                <w:szCs w:val="22"/>
              </w:rPr>
            </w:pPr>
            <w:r>
              <w:rPr>
                <w:sz w:val="22"/>
                <w:szCs w:val="22"/>
              </w:rPr>
              <w:t>Quantidade de RMs / 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DF337B"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DF337B" w:rsidRDefault="00DF337B" w:rsidP="000E4836">
            <w:pPr>
              <w:spacing w:before="120" w:after="120"/>
              <w:jc w:val="center"/>
              <w:rPr>
                <w:sz w:val="22"/>
                <w:szCs w:val="22"/>
              </w:rPr>
            </w:pPr>
            <w:r>
              <w:rPr>
                <w:sz w:val="22"/>
                <w:szCs w:val="22"/>
              </w:rPr>
              <w:t>[</w:t>
            </w:r>
            <w:r w:rsidR="000E4836">
              <w:rPr>
                <w:sz w:val="22"/>
                <w:szCs w:val="22"/>
              </w:rPr>
              <w:t>ID RM/RP</w:t>
            </w:r>
            <w:r>
              <w:rPr>
                <w:sz w:val="22"/>
                <w:szCs w:val="22"/>
              </w:rPr>
              <w:t>]Requisicao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DF337B" w:rsidRDefault="000E4836" w:rsidP="00DF337B">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DF337B" w:rsidRDefault="00DF337B" w:rsidP="00DF337B">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16E0A681" w14:textId="77777777" w:rsidTr="000C4E34">
        <w:tc>
          <w:tcPr>
            <w:tcW w:w="3914" w:type="dxa"/>
            <w:vAlign w:val="center"/>
          </w:tcPr>
          <w:p w14:paraId="524D9B03"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14:paraId="064092B7"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14:paraId="76493B09"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26AD03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06C1AE76"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F4EA36F"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lastRenderedPageBreak/>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r w:rsidR="000C49F7" w14:paraId="1EB6123B" w14:textId="77777777" w:rsidTr="000C4E34">
        <w:tc>
          <w:tcPr>
            <w:tcW w:w="3914" w:type="dxa"/>
            <w:vAlign w:val="center"/>
          </w:tcPr>
          <w:p w14:paraId="0C3171AE" w14:textId="49E61E80" w:rsidR="000C49F7" w:rsidRPr="003E44F6" w:rsidRDefault="000C49F7" w:rsidP="00B73887">
            <w:pPr>
              <w:spacing w:before="120" w:after="120"/>
              <w:jc w:val="center"/>
              <w:rPr>
                <w:sz w:val="22"/>
                <w:szCs w:val="22"/>
              </w:rPr>
            </w:pPr>
            <w:r>
              <w:rPr>
                <w:sz w:val="22"/>
                <w:szCs w:val="22"/>
              </w:rPr>
              <w:t>Registro de Anomalias</w:t>
            </w:r>
          </w:p>
        </w:tc>
        <w:tc>
          <w:tcPr>
            <w:tcW w:w="1157" w:type="dxa"/>
            <w:vAlign w:val="center"/>
          </w:tcPr>
          <w:p w14:paraId="5FE2C90C" w14:textId="1C2CEFC4" w:rsidR="000C49F7" w:rsidRPr="003E44F6" w:rsidRDefault="000C49F7" w:rsidP="00B73887">
            <w:pPr>
              <w:spacing w:before="120" w:after="120"/>
              <w:jc w:val="center"/>
              <w:rPr>
                <w:sz w:val="22"/>
                <w:szCs w:val="22"/>
              </w:rPr>
            </w:pPr>
            <w:r>
              <w:rPr>
                <w:sz w:val="22"/>
                <w:szCs w:val="22"/>
              </w:rPr>
              <w:t>RGA</w:t>
            </w:r>
          </w:p>
        </w:tc>
        <w:tc>
          <w:tcPr>
            <w:tcW w:w="709" w:type="dxa"/>
            <w:vAlign w:val="center"/>
          </w:tcPr>
          <w:p w14:paraId="1A47AAFA" w14:textId="02F6EED3" w:rsidR="000C49F7" w:rsidRPr="003E44F6" w:rsidRDefault="000C49F7" w:rsidP="00DF337B">
            <w:pPr>
              <w:spacing w:before="120" w:after="120"/>
              <w:jc w:val="center"/>
              <w:rPr>
                <w:sz w:val="22"/>
                <w:szCs w:val="22"/>
              </w:rPr>
            </w:pPr>
            <w:r>
              <w:rPr>
                <w:sz w:val="22"/>
                <w:szCs w:val="22"/>
              </w:rPr>
              <w:t>1</w:t>
            </w:r>
          </w:p>
        </w:tc>
        <w:tc>
          <w:tcPr>
            <w:tcW w:w="567" w:type="dxa"/>
            <w:vAlign w:val="center"/>
          </w:tcPr>
          <w:p w14:paraId="4A76F596" w14:textId="5634C61B" w:rsidR="000C49F7" w:rsidRDefault="000C49F7" w:rsidP="00DF337B">
            <w:pPr>
              <w:spacing w:before="120" w:after="120"/>
              <w:jc w:val="center"/>
              <w:rPr>
                <w:sz w:val="22"/>
                <w:szCs w:val="22"/>
              </w:rPr>
            </w:pPr>
            <w:r>
              <w:rPr>
                <w:sz w:val="22"/>
                <w:szCs w:val="22"/>
              </w:rPr>
              <w:t>A</w:t>
            </w:r>
          </w:p>
        </w:tc>
        <w:tc>
          <w:tcPr>
            <w:tcW w:w="1134" w:type="dxa"/>
            <w:vAlign w:val="center"/>
          </w:tcPr>
          <w:p w14:paraId="50B8613E" w14:textId="760B3E1B" w:rsidR="000C49F7" w:rsidRPr="00971A7A" w:rsidRDefault="000C49F7"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4C777AFD" w14:textId="285A9768" w:rsidR="000C49F7" w:rsidRPr="003E44F6" w:rsidRDefault="000C49F7" w:rsidP="00DF337B">
            <w:pPr>
              <w:spacing w:before="120" w:after="120"/>
              <w:jc w:val="center"/>
              <w:rPr>
                <w:sz w:val="22"/>
                <w:szCs w:val="22"/>
              </w:rPr>
            </w:pPr>
            <w:r>
              <w:rPr>
                <w:sz w:val="22"/>
                <w:szCs w:val="22"/>
              </w:rPr>
              <w:t>xlsx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lastRenderedPageBreak/>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 xml:space="preserve">Issues de Alterações listam todos os aspectos de uma alteração </w:t>
      </w:r>
      <w:r>
        <w:rPr>
          <w:color w:val="000000" w:themeColor="text1"/>
        </w:rPr>
        <w:lastRenderedPageBreak/>
        <w:t>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lastRenderedPageBreak/>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xml:space="preserve">, uma vez que este realiza verificação e validação de </w:t>
      </w:r>
      <w:r w:rsidR="007B7810">
        <w:rPr>
          <w:color w:val="000000" w:themeColor="text1"/>
        </w:rPr>
        <w:lastRenderedPageBreak/>
        <w:t>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9FCBF" w14:textId="77777777" w:rsidR="00344331" w:rsidRDefault="00344331">
      <w:r>
        <w:separator/>
      </w:r>
    </w:p>
  </w:endnote>
  <w:endnote w:type="continuationSeparator" w:id="0">
    <w:p w14:paraId="31F58576" w14:textId="77777777" w:rsidR="00344331" w:rsidRDefault="00344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737E27" w:rsidRDefault="00737E27">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737E27" w:rsidRDefault="00737E27" w:rsidP="00DE5677">
    <w:pPr>
      <w:pStyle w:val="Rodap"/>
      <w:framePr w:w="576" w:wrap="auto" w:vAnchor="page" w:hAnchor="page" w:x="10945" w:y="15121"/>
      <w:jc w:val="right"/>
      <w:rPr>
        <w:rStyle w:val="Nmerodepgina"/>
      </w:rPr>
    </w:pPr>
  </w:p>
  <w:p w14:paraId="02CA0258" w14:textId="77777777"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9B8ED"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737E27" w:rsidRPr="00DE5677" w:rsidRDefault="00737E27"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sidR="00AF01E0">
      <w:rPr>
        <w:rStyle w:val="Nmerodepgina"/>
        <w:noProof/>
        <w:sz w:val="16"/>
      </w:rPr>
      <w:t>06/07/15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sidR="00AF01E0">
      <w:rPr>
        <w:rStyle w:val="Nmerodepgina"/>
        <w:noProof/>
        <w:sz w:val="16"/>
      </w:rPr>
      <w:t xml:space="preserve">3:44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AF01E0">
      <w:rPr>
        <w:rStyle w:val="Nmerodepgina"/>
        <w:noProof/>
      </w:rPr>
      <w:t>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E3934" w14:textId="77777777" w:rsidR="00344331" w:rsidRDefault="00344331">
      <w:r>
        <w:separator/>
      </w:r>
    </w:p>
  </w:footnote>
  <w:footnote w:type="continuationSeparator" w:id="0">
    <w:p w14:paraId="6C3584D8" w14:textId="77777777" w:rsidR="00344331" w:rsidRDefault="00344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737E27" w:rsidRDefault="00737E27">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737E27" w:rsidRDefault="00737E27">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737E27" w:rsidRPr="005D6E63" w:rsidRDefault="00737E27">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D1EA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737E27" w:rsidRPr="005D6E63" w:rsidRDefault="00737E27" w:rsidP="007E4339">
    <w:pPr>
      <w:rPr>
        <w:b/>
        <w:sz w:val="24"/>
      </w:rPr>
    </w:pPr>
    <w:r w:rsidRPr="005D6E63">
      <w:rPr>
        <w:b/>
        <w:sz w:val="24"/>
      </w:rPr>
      <w:t>Plano de Gerência de Configuração de Software</w:t>
    </w:r>
  </w:p>
  <w:p w14:paraId="16D56D7C" w14:textId="77777777" w:rsidR="00737E27" w:rsidRPr="005D6E63" w:rsidRDefault="00737E27">
    <w:pPr>
      <w:jc w:val="right"/>
      <w:rPr>
        <w:sz w:val="24"/>
      </w:rPr>
    </w:pPr>
  </w:p>
  <w:p w14:paraId="14D5EC8A" w14:textId="77777777" w:rsidR="00737E27" w:rsidRPr="005D6E63" w:rsidRDefault="00737E27">
    <w:pPr>
      <w:jc w:val="right"/>
      <w:rPr>
        <w:sz w:val="24"/>
      </w:rPr>
    </w:pPr>
  </w:p>
  <w:p w14:paraId="6DE03057" w14:textId="77777777" w:rsidR="00737E27" w:rsidRPr="005D6E63" w:rsidRDefault="00737E27">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44331"/>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01E0"/>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76A"/>
    <w:rsid w:val="00ED57D1"/>
    <w:rsid w:val="00EF7BA5"/>
    <w:rsid w:val="00F04605"/>
    <w:rsid w:val="00F06CCC"/>
    <w:rsid w:val="00F11871"/>
    <w:rsid w:val="00F33BF9"/>
    <w:rsid w:val="00F36E23"/>
    <w:rsid w:val="00F443C0"/>
    <w:rsid w:val="00F54BB0"/>
    <w:rsid w:val="00FA08EA"/>
    <w:rsid w:val="00FA28E8"/>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BBDAB-AEC6-48BD-B161-959678F2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16</Pages>
  <Words>3803</Words>
  <Characters>20541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Moises Hilario</cp:lastModifiedBy>
  <cp:revision>52</cp:revision>
  <cp:lastPrinted>2008-10-15T13:48:00Z</cp:lastPrinted>
  <dcterms:created xsi:type="dcterms:W3CDTF">2015-04-07T19:07:00Z</dcterms:created>
  <dcterms:modified xsi:type="dcterms:W3CDTF">2015-06-07T18:47:00Z</dcterms:modified>
  <cp:category>Template</cp:category>
</cp:coreProperties>
</file>