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38D9" w:rsidRDefault="001438D9">
      <w:pPr>
        <w:rPr>
          <w:lang w:val="pt-BR"/>
        </w:rPr>
      </w:pPr>
    </w:p>
    <w:tbl>
      <w:tblPr>
        <w:tblW w:w="15427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25"/>
        <w:gridCol w:w="1700"/>
        <w:gridCol w:w="8792"/>
        <w:gridCol w:w="3410"/>
      </w:tblGrid>
      <w:tr w:rsidR="001438D9">
        <w:trPr>
          <w:trHeight w:val="372"/>
          <w:tblHeader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Antonio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Arlis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 xml:space="preserve"> Santos da Silva e Mateus Ribeiro Pimenta Nunes</w:t>
            </w:r>
          </w:p>
        </w:tc>
      </w:tr>
      <w:tr w:rsidR="001438D9">
        <w:trPr>
          <w:trHeight w:val="372"/>
          <w:tblHeader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GPR – Gerência de Projetos</w:t>
            </w:r>
          </w:p>
        </w:tc>
      </w:tr>
      <w:tr w:rsidR="001438D9">
        <w:trPr>
          <w:tblHeader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3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evidências que permitem assegurar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que o modelo do ciclo de vida do projeto foi definido, indicando suas fases, as relações de sequência e interdependência entre elas.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5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Os documentos apresentados como resultado não estão de acordo com a ordem temporal do projeto, ou seja,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não há como garantir que as revisões/atualizações foram realizadas nos períodos estabelecidos.</w:t>
            </w: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cronograma não estabelece as dependências entre as tarefas.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6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como garantir que as revisões/atualizações no documento de riscos foram r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ealizadas nos períodos estabelecidos.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8 (Até o Nível E)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9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evidencias acerca de definição de proteção, regras de confidencialidade e edição, (segurança e sigilo) para os documentos.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12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evidencias que permitem afirmar que todos os interessados tomaram conhecimento, se comprometeram ou 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recomprometeram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, quando necessário com o planejamento do projeto.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13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Os artefatos não evidenciam o monitoramento acerca dos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pontos definidos para este resultado (escopo, estimativas, orçamento,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>) e como consequência também não realizam comparações acerca do que foi planejado/realizado.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14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artefatos não evidenciam o monitoramento acerca dos pontos definidos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para este resultado (recursos materiais, humanos) e como consequência também não realizam comparações acerca do que foi planejado/realizado.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GPR 15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como garantir que as revisões/atualizações no documento de riscos, e consequentemente as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atividades de monitoramento em relação aos riscos, foram realizadas nos períodos estabelecidos, uma vez que as mesmas podem ser facilmente editadas no documento.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AP2.1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Foi estabelecida uma política organizacional para o processo, porém não foi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mantida. No projeto a evidências de alteração no plano geral para o projeto e há evidência de comunicação, nem de comprometimento com a equipe conforme definido na política organizacional.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5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As evidências de identificação e disponibilização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dos recursos não humanos localizados no plano de configuração seção 6 não são relacionados na tabela de avaliação.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6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evidências de comunicação sobre as responsabilidades para as partes interessadas. 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7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evidência que durante a execução do projeto houve treinamento, quando necessário, de pessoal, nem capacitação/formação dos envolvidos no projeto.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RAP 7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As evidencias de capacitação para função exercida por cada integrante da equipe localizadas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no GPR – Processo seção 4 não é relacionada na planilha de avaliação.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8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evidências do planejamento das comunicações entre as partes interessadas e membros da equipe/cliente nem de sua execução. 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>possui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um link para um e-mail que o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avaliador não possui acesso).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10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Fazer relacionamento para os documentos que apresentam os resultados esperados de forma direta.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438D9">
      <w:pPr>
        <w:rPr>
          <w:rFonts w:ascii="Arial" w:hAnsi="Arial" w:cs="Arial"/>
          <w:sz w:val="20"/>
          <w:szCs w:val="20"/>
          <w:lang w:val="pt-BR"/>
        </w:rPr>
      </w:pPr>
    </w:p>
    <w:p w:rsidR="001438D9" w:rsidRDefault="001E3CB5">
      <w:pPr>
        <w:rPr>
          <w:rFonts w:ascii="Arial" w:hAnsi="Arial" w:cs="Arial"/>
          <w:sz w:val="20"/>
          <w:szCs w:val="20"/>
          <w:lang w:val="pt-BR"/>
        </w:rPr>
      </w:pPr>
      <w:r>
        <w:br w:type="page"/>
      </w:r>
    </w:p>
    <w:p w:rsidR="001438D9" w:rsidRDefault="001438D9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15388" w:type="dxa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23"/>
        <w:gridCol w:w="1451"/>
        <w:gridCol w:w="8766"/>
        <w:gridCol w:w="3548"/>
      </w:tblGrid>
      <w:tr w:rsidR="001438D9">
        <w:trPr>
          <w:trHeight w:val="372"/>
          <w:tblHeader/>
        </w:trPr>
        <w:tc>
          <w:tcPr>
            <w:tcW w:w="153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Beatriz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Nogueira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e David Matheus (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responsável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pela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avaliação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área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requisitos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</w:p>
        </w:tc>
      </w:tr>
      <w:tr w:rsidR="001438D9">
        <w:trPr>
          <w:trHeight w:val="372"/>
          <w:tblHeader/>
        </w:trPr>
        <w:tc>
          <w:tcPr>
            <w:tcW w:w="153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GRE – Gerência de Requisitos</w:t>
            </w:r>
          </w:p>
        </w:tc>
      </w:tr>
      <w:tr w:rsidR="001438D9">
        <w:trPr>
          <w:tblHeader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1438D9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GRE2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evidências de comprometimento da equipe técnica com os requisitos especificados.</w:t>
            </w: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 documento de viabilidade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se encontra inconsistente, pois foi feito o estudo de viabilidade que sugere duas alternativas:</w:t>
            </w: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Toc466388476"/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Alternativa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1:</w:t>
            </w:r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Software mobile,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atendente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prefeitura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cidadão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prestador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versão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 para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</w:t>
            </w:r>
            <w:r>
              <w:rPr>
                <w:rFonts w:ascii="Arial" w:hAnsi="Arial" w:cs="Arial"/>
                <w:sz w:val="20"/>
                <w:szCs w:val="20"/>
              </w:rPr>
              <w:t>nário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prestadora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distribuirá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solicitações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técnicos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" w:name="_Toc466388477"/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Alternativa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2:</w:t>
            </w:r>
            <w:bookmarkEnd w:id="1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Sistema web a ser acessado pelo cidadão, atendente da prefeitura, funcionários da prestadora de serviço e coordenadores do sistema para realizar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todas as etapas do processo pelo qual passa a solicitação de serviço.</w:t>
            </w:r>
          </w:p>
          <w:p w:rsidR="001438D9" w:rsidRDefault="0014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requisitos levantados não atendem nenhumas dessas alternativas:</w:t>
            </w:r>
          </w:p>
          <w:p w:rsidR="001438D9" w:rsidRDefault="001E3CB5">
            <w:pPr>
              <w:jc w:val="both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Software mobile, a ser usado pelo cidadão e pelo funcionário prestador de serviço, com uma versão web para coordenado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res do sistema, atendente da prefeitura e para o funcionário da prestadora de serviço que distribuirá as solicitações de serviço para os seus técnicos. 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GRE4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Apesar do monitoramento ter sido realizado ainda foram encontradas algumas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inconsistências nos documentos de requisitos: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Na pergunta 15 da entrevista foi identificado: ”</w:t>
            </w: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Potencial requisito futuro próximo: filtragem de solicitações duplicadas. ”,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porem isso não consta no documento de Especificação de requisito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>&gt;  4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.Requisitos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futuros.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Na pergunta 25 da entrevista o Representante falou que a avaliação do cidadão teria nota de 1 a 10 com espaço para comentários, já o RF1-007 diz que essa avaliação será com notas de 1 a 5 com espaço para comentários.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>RF2-009 Faltou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especificar que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para rejeitar/cancelar uma solicitação é preciso ter espaço para justificar o motivo.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RF2-011 Se é o atendente que tem acesso para atribuir uma solicitação a uma prestadora por que é o Coordenador que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classifica  </w:t>
            </w:r>
            <w:r>
              <w:rPr>
                <w:rFonts w:ascii="Arial" w:hAnsi="Arial" w:cs="Arial"/>
                <w:sz w:val="20"/>
                <w:lang w:val="pt-BR"/>
              </w:rPr>
              <w:t>as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 solicitações de acordo com seu grau de </w:t>
            </w:r>
            <w:r>
              <w:rPr>
                <w:rFonts w:ascii="Arial" w:hAnsi="Arial" w:cs="Arial"/>
                <w:sz w:val="20"/>
                <w:lang w:val="pt-BR"/>
              </w:rPr>
              <w:t>prioridade?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UC 011 Este caso de uso está com prioridade: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‘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Importante’. Não seria “Essencial”, pois sem ele o cidadão não vai saber se o serviço foi de fato concluído?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UC 014 “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Entradas e pré-condições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: Avaliação de 1 a 5, comentário opcional” isso já faz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parte da descrição do caso de uso, a entrada seria uma notificação informando o cidadão que ele possui uma avaliação de solicitação pendente.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UC 021 Todos podem ter acesso ao relatório?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rPr>
          <w:trHeight w:val="340"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Requerido</w:t>
            </w:r>
          </w:p>
          <w:p w:rsidR="001438D9" w:rsidRDefault="00143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RAP3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Foi apresentado apenas a execução do projeto, mas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não processo planejado para o projeto.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RAP6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Falta evidencias da comunicação das responsabilidades e autoridades definidas.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RAP10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Foi apresentado apenas o processo planejado para o projeto, mas não a sua execução.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E3CB5">
      <w:pPr>
        <w:rPr>
          <w:rFonts w:ascii="Arial" w:hAnsi="Arial" w:cs="Arial"/>
          <w:sz w:val="20"/>
          <w:szCs w:val="20"/>
          <w:lang w:val="pt-BR"/>
        </w:rPr>
      </w:pPr>
      <w:r>
        <w:br w:type="page"/>
      </w:r>
    </w:p>
    <w:p w:rsidR="001438D9" w:rsidRDefault="001438D9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15427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482"/>
        <w:gridCol w:w="1461"/>
        <w:gridCol w:w="8666"/>
        <w:gridCol w:w="3818"/>
      </w:tblGrid>
      <w:tr w:rsidR="001438D9">
        <w:trPr>
          <w:trHeight w:val="372"/>
          <w:tblHeader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Avaliadores do 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 xml:space="preserve"> Igor Q. Silva e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Keslley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 xml:space="preserve"> Lima</w:t>
            </w:r>
          </w:p>
        </w:tc>
      </w:tr>
      <w:tr w:rsidR="001438D9">
        <w:trPr>
          <w:trHeight w:val="372"/>
          <w:tblHeader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GQA – Garantia da Qualidade</w:t>
            </w:r>
          </w:p>
        </w:tc>
      </w:tr>
      <w:tr w:rsidR="001438D9">
        <w:trPr>
          <w:tblHeader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GQA1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vínculo de documento que comprove que a avaliação foi efetivamente aplicada.</w:t>
            </w:r>
          </w:p>
          <w:p w:rsidR="001438D9" w:rsidRDefault="001438D9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GQA2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No Plano de Garantia da Qualidade não está especificado de maneira clara e objetiva como o Processo e as atividades que foram executadas.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GQA2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Checklists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parecem muito superficiais, faltou aprofundar mais na avaliação de cada docu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mento.</w:t>
            </w:r>
          </w:p>
          <w:p w:rsidR="001438D9" w:rsidRDefault="001438D9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Há um item 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checklist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que foi atendido parcialmente, contudo não há evidências que comprovem que foi registrada a não-conformidade em algum lugar para ser devidamente tratada.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 Plano de Qualidade não trata de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como as não-conformidades serão tratadas, nem como serão comunicadas ou acompanhadas.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GQA4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nenhum indício de que as não-conformidades foram comunicadas, ou ao menos registradas. 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Melhoria</w:t>
            </w:r>
            <w:proofErr w:type="spellEnd"/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GQA5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Nenhum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documentos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contempla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assinaturas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parte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Qualidade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Projeto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empresa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questão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E3CB5">
      <w:pPr>
        <w:rPr>
          <w:rFonts w:ascii="Arial" w:hAnsi="Arial" w:cs="Arial"/>
          <w:sz w:val="20"/>
          <w:szCs w:val="20"/>
          <w:lang w:val="pt-BR"/>
        </w:rPr>
      </w:pPr>
      <w:r>
        <w:br w:type="page"/>
      </w:r>
      <w:bookmarkStart w:id="2" w:name="_GoBack"/>
      <w:bookmarkEnd w:id="2"/>
    </w:p>
    <w:tbl>
      <w:tblPr>
        <w:tblW w:w="15036" w:type="dxa"/>
        <w:tblInd w:w="2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482"/>
        <w:gridCol w:w="1462"/>
        <w:gridCol w:w="8102"/>
        <w:gridCol w:w="3990"/>
      </w:tblGrid>
      <w:tr w:rsidR="001438D9">
        <w:trPr>
          <w:trHeight w:val="372"/>
          <w:tblHeader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pageBreakBefore/>
              <w:ind w:left="-249"/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lastRenderedPageBreak/>
              <w:t>AAvaliador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???</w:t>
            </w:r>
          </w:p>
        </w:tc>
      </w:tr>
      <w:tr w:rsidR="001438D9">
        <w:trPr>
          <w:trHeight w:val="372"/>
          <w:tblHeader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MED – Medição</w:t>
            </w:r>
          </w:p>
        </w:tc>
      </w:tr>
      <w:tr w:rsidR="001438D9">
        <w:trPr>
          <w:tblHeader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MED4 e 5</w:t>
            </w:r>
          </w:p>
        </w:tc>
        <w:tc>
          <w:tcPr>
            <w:tcW w:w="8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indicador IND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>1  está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sendo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calculado de forma diferente do que está escrito na sua descrição.</w:t>
            </w:r>
          </w:p>
        </w:tc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MED4</w:t>
            </w:r>
          </w:p>
        </w:tc>
        <w:tc>
          <w:tcPr>
            <w:tcW w:w="8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foram definidos os procedimentos de coleta e análise dos indicadores.</w:t>
            </w:r>
          </w:p>
          <w:p w:rsidR="001438D9" w:rsidRDefault="001438D9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E3CB5">
      <w:pPr>
        <w:rPr>
          <w:rFonts w:ascii="Arial" w:hAnsi="Arial" w:cs="Arial"/>
          <w:sz w:val="20"/>
          <w:szCs w:val="20"/>
          <w:lang w:val="pt-BR"/>
        </w:rPr>
      </w:pPr>
      <w:r>
        <w:br w:type="page"/>
      </w:r>
    </w:p>
    <w:p w:rsidR="001438D9" w:rsidRDefault="001438D9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15036" w:type="dxa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482"/>
        <w:gridCol w:w="1462"/>
        <w:gridCol w:w="7702"/>
        <w:gridCol w:w="4390"/>
      </w:tblGrid>
      <w:tr w:rsidR="001438D9">
        <w:trPr>
          <w:trHeight w:val="372"/>
          <w:tblHeader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ind w:left="-249"/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AAvaliador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????</w:t>
            </w:r>
          </w:p>
        </w:tc>
      </w:tr>
      <w:tr w:rsidR="001438D9">
        <w:trPr>
          <w:trHeight w:val="372"/>
          <w:tblHeader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GCO -  Gerência de Configuração</w:t>
            </w:r>
          </w:p>
        </w:tc>
      </w:tr>
      <w:tr w:rsidR="001438D9">
        <w:trPr>
          <w:tblHeader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7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GCO1</w:t>
            </w:r>
          </w:p>
        </w:tc>
        <w:tc>
          <w:tcPr>
            <w:tcW w:w="7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Há itens de configuração planejado com extensão .WAR e na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baseline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ele está registrado como .EXE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GCO3</w:t>
            </w:r>
          </w:p>
        </w:tc>
        <w:tc>
          <w:tcPr>
            <w:tcW w:w="7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baselines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especificadas no plano de Gerência de Configuração estão divergentes dos nomes estabelecidos no cronograma do projeto.  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E3CB5">
      <w:pPr>
        <w:rPr>
          <w:rFonts w:ascii="Arial" w:hAnsi="Arial" w:cs="Arial"/>
          <w:sz w:val="20"/>
          <w:szCs w:val="20"/>
          <w:lang w:val="pt-BR"/>
        </w:rPr>
      </w:pPr>
      <w:r>
        <w:br w:type="page"/>
      </w:r>
    </w:p>
    <w:p w:rsidR="001438D9" w:rsidRDefault="001438D9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15036" w:type="dxa"/>
        <w:tblInd w:w="2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482"/>
        <w:gridCol w:w="1462"/>
        <w:gridCol w:w="7801"/>
        <w:gridCol w:w="4291"/>
      </w:tblGrid>
      <w:tr w:rsidR="001438D9">
        <w:trPr>
          <w:trHeight w:val="372"/>
          <w:tblHeader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ind w:left="-249"/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AAvaliador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????</w:t>
            </w:r>
          </w:p>
        </w:tc>
      </w:tr>
      <w:tr w:rsidR="001438D9">
        <w:trPr>
          <w:trHeight w:val="372"/>
          <w:tblHeader/>
        </w:trPr>
        <w:tc>
          <w:tcPr>
            <w:tcW w:w="150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Todos os processos</w:t>
            </w:r>
          </w:p>
        </w:tc>
      </w:tr>
      <w:tr w:rsidR="001438D9">
        <w:trPr>
          <w:tblHeader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7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4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SUGESTÃO 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PARA CORRIGIR</w:t>
            </w: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Todos os Projetos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RAP9</w:t>
            </w:r>
          </w:p>
        </w:tc>
        <w:tc>
          <w:tcPr>
            <w:tcW w:w="7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Embora as comunicações sejam realizadas, nem todas são armazenas juntas na pasta COM como .PDF</w:t>
            </w:r>
          </w:p>
        </w:tc>
        <w:tc>
          <w:tcPr>
            <w:tcW w:w="4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438D9"/>
    <w:sectPr w:rsidR="001438D9">
      <w:headerReference w:type="default" r:id="rId7"/>
      <w:footerReference w:type="default" r:id="rId8"/>
      <w:pgSz w:w="16838" w:h="11906" w:orient="landscape"/>
      <w:pgMar w:top="766" w:right="720" w:bottom="720" w:left="720" w:header="709" w:footer="13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CB5" w:rsidRDefault="001E3CB5">
      <w:r>
        <w:separator/>
      </w:r>
    </w:p>
  </w:endnote>
  <w:endnote w:type="continuationSeparator" w:id="0">
    <w:p w:rsidR="001E3CB5" w:rsidRDefault="001E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Batang, 바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D9" w:rsidRDefault="001E3CB5">
    <w:pPr>
      <w:pStyle w:val="Rodap"/>
      <w:ind w:right="360"/>
    </w:pPr>
    <w:r>
      <w:rPr>
        <w:rFonts w:ascii="Arial" w:hAnsi="Arial" w:cs="Arial"/>
        <w:sz w:val="20"/>
        <w:szCs w:val="20"/>
        <w:lang w:val="pt-BR"/>
      </w:rPr>
      <w:t>Assinaturas</w:t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</w:p>
  <w:p w:rsidR="001438D9" w:rsidRDefault="001438D9">
    <w:pPr>
      <w:pStyle w:val="Rodap"/>
      <w:rPr>
        <w:rFonts w:ascii="Arial" w:hAnsi="Arial" w:cs="Arial"/>
        <w:sz w:val="20"/>
        <w:szCs w:val="20"/>
        <w:lang w:val="pt-BR"/>
      </w:rPr>
    </w:pPr>
  </w:p>
  <w:p w:rsidR="001438D9" w:rsidRDefault="001E3CB5">
    <w:pPr>
      <w:pStyle w:val="Rodap"/>
    </w:pPr>
    <w:r>
      <w:rPr>
        <w:rFonts w:ascii="Arial" w:hAnsi="Arial" w:cs="Arial"/>
        <w:sz w:val="20"/>
        <w:szCs w:val="20"/>
        <w:lang w:val="pt-BR"/>
      </w:rPr>
      <w:t>__________________</w:t>
    </w:r>
    <w:r>
      <w:rPr>
        <w:rFonts w:ascii="Arial" w:hAnsi="Arial" w:cs="Arial"/>
        <w:sz w:val="20"/>
        <w:szCs w:val="20"/>
        <w:lang w:val="pt-BR"/>
      </w:rPr>
      <w:tab/>
      <w:t xml:space="preserve">_             </w:t>
    </w:r>
  </w:p>
  <w:p w:rsidR="001438D9" w:rsidRDefault="001E3CB5">
    <w:pPr>
      <w:pStyle w:val="Rodap"/>
      <w:jc w:val="center"/>
    </w:pPr>
    <w:proofErr w:type="gramStart"/>
    <w:r>
      <w:rPr>
        <w:rFonts w:ascii="Arial" w:hAnsi="Arial" w:cs="Arial"/>
        <w:sz w:val="20"/>
        <w:szCs w:val="20"/>
        <w:lang w:val="pt-BR"/>
      </w:rPr>
      <w:t>pág</w:t>
    </w:r>
    <w:proofErr w:type="gramEnd"/>
    <w:r>
      <w:rPr>
        <w:rFonts w:ascii="Arial" w:hAnsi="Arial" w:cs="Arial"/>
        <w:sz w:val="20"/>
        <w:szCs w:val="20"/>
        <w:lang w:val="pt-BR"/>
      </w:rPr>
      <w:t xml:space="preserve">. </w:t>
    </w:r>
    <w:r>
      <w:rPr>
        <w:rFonts w:ascii="Arial" w:hAnsi="Arial" w:cs="Arial"/>
        <w:sz w:val="20"/>
        <w:szCs w:val="20"/>
        <w:lang w:val="pt-BR"/>
      </w:rPr>
      <w:fldChar w:fldCharType="begin"/>
    </w:r>
    <w:r>
      <w:instrText>PAGE</w:instrText>
    </w:r>
    <w:r>
      <w:fldChar w:fldCharType="separate"/>
    </w:r>
    <w:r w:rsidR="00DD2785">
      <w:rPr>
        <w:noProof/>
      </w:rPr>
      <w:t>8</w:t>
    </w:r>
    <w:r>
      <w:fldChar w:fldCharType="end"/>
    </w:r>
    <w:r>
      <w:rPr>
        <w:rStyle w:val="Nmerodepgina"/>
        <w:rFonts w:ascii="Arial" w:hAnsi="Arial" w:cs="Arial"/>
        <w:sz w:val="20"/>
        <w:szCs w:val="20"/>
      </w:rPr>
      <w:t>/</w:t>
    </w:r>
    <w:r>
      <w:rPr>
        <w:rStyle w:val="Nmerodepgina"/>
        <w:rFonts w:ascii="Arial" w:hAnsi="Arial" w:cs="Arial"/>
        <w:sz w:val="20"/>
        <w:szCs w:val="20"/>
      </w:rPr>
      <w:fldChar w:fldCharType="begin"/>
    </w:r>
    <w:r>
      <w:instrText>NUMPAGES</w:instrText>
    </w:r>
    <w:r>
      <w:fldChar w:fldCharType="separate"/>
    </w:r>
    <w:r w:rsidR="00DD2785">
      <w:rPr>
        <w:noProof/>
      </w:rPr>
      <w:t>8</w:t>
    </w:r>
    <w:r>
      <w:fldChar w:fldCharType="end"/>
    </w:r>
  </w:p>
  <w:p w:rsidR="001438D9" w:rsidRDefault="001438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CB5" w:rsidRDefault="001E3CB5">
      <w:r>
        <w:separator/>
      </w:r>
    </w:p>
  </w:footnote>
  <w:footnote w:type="continuationSeparator" w:id="0">
    <w:p w:rsidR="001E3CB5" w:rsidRDefault="001E3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D9" w:rsidRDefault="001E3CB5">
    <w:r>
      <w:rPr>
        <w:noProof/>
        <w:lang w:val="pt-BR" w:eastAsia="pt-BR"/>
      </w:rPr>
      <w:drawing>
        <wp:anchor distT="0" distB="0" distL="114935" distR="114935" simplePos="0" relativeHeight="10" behindDoc="1" locked="0" layoutInCell="1" allowOverlap="1">
          <wp:simplePos x="0" y="0"/>
          <wp:positionH relativeFrom="column">
            <wp:posOffset>8512175</wp:posOffset>
          </wp:positionH>
          <wp:positionV relativeFrom="paragraph">
            <wp:posOffset>-235585</wp:posOffset>
          </wp:positionV>
          <wp:extent cx="1066165" cy="68516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685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lang w:val="pt-BR"/>
      </w:rPr>
      <w:t xml:space="preserve">                           </w:t>
    </w:r>
    <w:r>
      <w:rPr>
        <w:rFonts w:ascii="Arial" w:hAnsi="Arial" w:cs="Arial"/>
        <w:b/>
        <w:sz w:val="28"/>
        <w:szCs w:val="28"/>
        <w:lang w:val="pt-BR"/>
      </w:rPr>
      <w:t xml:space="preserve">Relatório de </w:t>
    </w:r>
    <w:r>
      <w:rPr>
        <w:rFonts w:ascii="Arial" w:hAnsi="Arial" w:cs="Arial"/>
        <w:b/>
        <w:sz w:val="28"/>
        <w:szCs w:val="28"/>
        <w:lang w:val="pt-BR"/>
      </w:rPr>
      <w:t>Avaliação</w:t>
    </w:r>
  </w:p>
  <w:p w:rsidR="001438D9" w:rsidRDefault="001E3CB5">
    <w:pPr>
      <w:rPr>
        <w:rFonts w:ascii="Arial" w:hAnsi="Arial" w:cs="Arial"/>
        <w:color w:val="0000FF"/>
        <w:lang w:val="pt-BR"/>
      </w:rPr>
    </w:pPr>
    <w:r>
      <w:rPr>
        <w:rFonts w:ascii="Arial" w:hAnsi="Arial" w:cs="Arial"/>
        <w:b/>
        <w:lang w:val="pt-BR"/>
      </w:rPr>
      <w:t xml:space="preserve">Avaliador: </w:t>
    </w:r>
    <w:r>
      <w:rPr>
        <w:rFonts w:ascii="Arial" w:hAnsi="Arial" w:cs="Arial"/>
        <w:color w:val="FF0000"/>
        <w:lang w:val="pt-BR"/>
      </w:rPr>
      <w:t>Grupo02</w:t>
    </w:r>
    <w:r>
      <w:rPr>
        <w:rFonts w:ascii="Arial" w:hAnsi="Arial" w:cs="Arial"/>
        <w:b/>
        <w:lang w:val="pt-BR"/>
      </w:rPr>
      <w:t xml:space="preserve">               </w:t>
    </w:r>
    <w:proofErr w:type="gramStart"/>
    <w:r>
      <w:rPr>
        <w:rFonts w:ascii="Arial" w:hAnsi="Arial" w:cs="Arial"/>
        <w:b/>
        <w:lang w:val="pt-BR"/>
      </w:rPr>
      <w:t xml:space="preserve"> Avaliado</w:t>
    </w:r>
    <w:proofErr w:type="gramEnd"/>
    <w:r>
      <w:rPr>
        <w:rFonts w:ascii="Arial" w:hAnsi="Arial" w:cs="Arial"/>
        <w:b/>
        <w:lang w:val="pt-BR"/>
      </w:rPr>
      <w:t xml:space="preserve">: </w:t>
    </w:r>
    <w:r>
      <w:rPr>
        <w:rFonts w:ascii="Arial" w:hAnsi="Arial" w:cs="Arial"/>
        <w:color w:val="FF0000"/>
        <w:lang w:val="pt-BR"/>
      </w:rPr>
      <w:t>Grupo01</w:t>
    </w:r>
    <w:r>
      <w:rPr>
        <w:rFonts w:ascii="Arial" w:hAnsi="Arial" w:cs="Arial"/>
        <w:b/>
        <w:lang w:val="pt-BR"/>
      </w:rPr>
      <w:tab/>
    </w:r>
    <w:r>
      <w:rPr>
        <w:rFonts w:ascii="Arial" w:hAnsi="Arial" w:cs="Arial"/>
        <w:b/>
        <w:lang w:val="pt-BR"/>
      </w:rPr>
      <w:tab/>
      <w:t xml:space="preserve">          Data:</w:t>
    </w:r>
    <w:r>
      <w:rPr>
        <w:rFonts w:ascii="Arial" w:hAnsi="Arial" w:cs="Arial"/>
        <w:lang w:val="pt-BR"/>
      </w:rPr>
      <w:t xml:space="preserve"> </w:t>
    </w:r>
    <w:r>
      <w:rPr>
        <w:rFonts w:ascii="Arial" w:hAnsi="Arial" w:cs="Arial"/>
        <w:color w:val="0000FF"/>
        <w:lang w:val="pt-BR"/>
      </w:rPr>
      <w:t>19/11/2016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5354"/>
    <w:multiLevelType w:val="multilevel"/>
    <w:tmpl w:val="14A8D9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C420BB"/>
    <w:multiLevelType w:val="multilevel"/>
    <w:tmpl w:val="9E7A1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D9"/>
    <w:rsid w:val="001438D9"/>
    <w:rsid w:val="001E3CB5"/>
    <w:rsid w:val="00D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3915"/>
  <w15:docId w15:val="{398C3666-8E73-4FBD-8B34-AF04ABA9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rFonts w:eastAsia="Batang"/>
      <w:color w:val="00000A"/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Fuentedeprrafopredeter">
    <w:name w:val="Fuente de párrafo predeter."/>
    <w:qFormat/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  <w:lang w:val="en-US" w:eastAsia="ko-KR"/>
    </w:rPr>
  </w:style>
  <w:style w:type="character" w:customStyle="1" w:styleId="Refdecomentario">
    <w:name w:val="Ref. de comentario"/>
    <w:qFormat/>
    <w:rPr>
      <w:sz w:val="16"/>
      <w:szCs w:val="16"/>
    </w:rPr>
  </w:style>
  <w:style w:type="character" w:customStyle="1" w:styleId="TextocomentarioCar">
    <w:name w:val="Texto comentario Car"/>
    <w:qFormat/>
    <w:rPr>
      <w:lang w:val="en-US" w:eastAsia="ko-KR"/>
    </w:rPr>
  </w:style>
  <w:style w:type="character" w:customStyle="1" w:styleId="AsuntodelcomentarioCar">
    <w:name w:val="Asunto del comentario Car"/>
    <w:qFormat/>
    <w:rPr>
      <w:b/>
      <w:bCs/>
      <w:lang w:val="en-US" w:eastAsia="ko-KR"/>
    </w:rPr>
  </w:style>
  <w:style w:type="character" w:styleId="Nmerodepgina">
    <w:name w:val="page number"/>
    <w:basedOn w:val="Fuentedeprrafopredeter"/>
    <w:qFormat/>
  </w:style>
  <w:style w:type="character" w:customStyle="1" w:styleId="EncabezadoCar">
    <w:name w:val="Encabezado Car"/>
    <w:qFormat/>
    <w:rPr>
      <w:sz w:val="24"/>
      <w:szCs w:val="24"/>
      <w:lang w:val="en-US" w:eastAsia="ko-KR"/>
    </w:rPr>
  </w:style>
  <w:style w:type="character" w:customStyle="1" w:styleId="ListLabel1">
    <w:name w:val="ListLabel 1"/>
    <w:qFormat/>
    <w:rPr>
      <w:rFonts w:ascii="Arial" w:eastAsia="OpenSymbol" w:hAnsi="Arial" w:cs="OpenSymbol"/>
      <w:sz w:val="20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OpenSymbol"/>
      <w:sz w:val="2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odeglobo">
    <w:name w:val="Texto de globo"/>
    <w:basedOn w:val="Normal"/>
    <w:qFormat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extocomentario">
    <w:name w:val="Texto comentario"/>
    <w:basedOn w:val="Normal"/>
    <w:qFormat/>
    <w:rPr>
      <w:sz w:val="20"/>
      <w:szCs w:val="20"/>
    </w:rPr>
  </w:style>
  <w:style w:type="paragraph" w:customStyle="1" w:styleId="Asuntodelcomentario">
    <w:name w:val="Asunto del comentario"/>
    <w:basedOn w:val="Textocomentario"/>
    <w:qFormat/>
    <w:rPr>
      <w:b/>
      <w:b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tandard">
    <w:name w:val="Standard"/>
    <w:qFormat/>
    <w:rsid w:val="00CC4BAB"/>
    <w:pPr>
      <w:suppressAutoHyphens/>
      <w:textAlignment w:val="baseline"/>
    </w:pPr>
    <w:rPr>
      <w:rFonts w:eastAsia="Batang, 바탕"/>
      <w:color w:val="00000A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1282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de Avaliacao Inicial</dc:title>
  <dc:subject>Avaliacao MPS</dc:subject>
  <dc:creator>Cristina Filipak Machado</dc:creator>
  <cp:keywords>Avaliacao MPS inicial</cp:keywords>
  <dc:description>Elaborado por Cristina, revisto e aceito por Pecegueiro</dc:description>
  <cp:lastModifiedBy>Matheus Pimenta</cp:lastModifiedBy>
  <cp:revision>6</cp:revision>
  <cp:lastPrinted>2009-02-28T11:36:00Z</cp:lastPrinted>
  <dcterms:created xsi:type="dcterms:W3CDTF">2016-11-21T00:43:00Z</dcterms:created>
  <dcterms:modified xsi:type="dcterms:W3CDTF">2016-11-22T11:08:00Z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