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PARECER DA AVALIAÇÃO DOS ARTEFATOS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6"/>
        <w:gridCol w:w="2255"/>
        <w:gridCol w:w="2153"/>
        <w:gridCol w:w="1869"/>
      </w:tblGrid>
      <w:tr>
        <w:trPr/>
        <w:tc>
          <w:tcPr>
            <w:tcW w:w="22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01. ÁREA DE PROCESSO:</w:t>
            </w:r>
          </w:p>
        </w:tc>
        <w:tc>
          <w:tcPr>
            <w:tcW w:w="22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03. Nº PARECER</w:t>
            </w:r>
          </w:p>
        </w:tc>
        <w:tc>
          <w:tcPr>
            <w:tcW w:w="18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04. DATA</w:t>
            </w:r>
          </w:p>
        </w:tc>
      </w:tr>
      <w:tr>
        <w:trPr>
          <w:trHeight w:val="477" w:hRule="atLeast"/>
        </w:trPr>
        <w:tc>
          <w:tcPr>
            <w:tcW w:w="22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GPR</w:t>
            </w:r>
          </w:p>
        </w:tc>
        <w:tc>
          <w:tcPr>
            <w:tcW w:w="225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center"/>
              <w:rPr/>
            </w:pPr>
            <w:hyperlink r:id="rId2">
              <w:bookmarkStart w:id="0" w:name="86529df608cbb3850d96e9990aca0995-bad86070601bf6292df8c4923f1c6f4ef87e5d40"/>
              <w:bookmarkEnd w:id="0"/>
              <w:r>
                <w:rPr>
                  <w:rStyle w:val="Nfaseforte"/>
                  <w:rFonts w:eastAsia="Arial" w:cs="Arial"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16"/>
                  <w:szCs w:val="16"/>
                  <w:u w:val="none"/>
                  <w:effect w:val="none"/>
                </w:rPr>
                <w:t>PG2016-1-PGP</w:t>
              </w:r>
            </w:hyperlink>
          </w:p>
        </w:tc>
        <w:tc>
          <w:tcPr>
            <w:tcW w:w="21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PAA - 005</w:t>
            </w:r>
          </w:p>
        </w:tc>
        <w:tc>
          <w:tcPr>
            <w:tcW w:w="18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18/10/2016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05. QUANTIDADE DE NÃO-CONFORMIDADES ENCONTRADAS(QNC)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Ausência da aprovação/assinatura do patrocinador do projeto.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eastAsia="Arial" w:cs="Arial"/>
                <w:b w:val="false"/>
                <w:b w:val="false"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/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06. APROVAÇÃO DO ARTEFATO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17780" distL="114300" distR="135890" simplePos="0" locked="0" layoutInCell="1" allowOverlap="1" relativeHeight="2" wp14:anchorId="6EF990B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27305</wp:posOffset>
                      </wp:positionV>
                      <wp:extent cx="113665" cy="78740"/>
                      <wp:effectExtent l="0" t="0" r="0" b="0"/>
                      <wp:wrapNone/>
                      <wp:docPr id="1" name="Retângul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7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d7ee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1" fillcolor="#bdd7ee" stroked="t" style="position:absolute;margin-left:4.4pt;margin-top:2.15pt;width:8.85pt;height:6.1pt" wp14:anchorId="6EF990B1">
                      <w10:wrap type="none"/>
                      <v:fill o:detectmouseclick="t" type="solid" color2="#422811"/>
                      <v:stroke color="#43729d" weight="12600" joinstyle="miter" endcap="flat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APROVADO &lt;Preencher quadro de Verde caso não haja não-conformidades&gt;</w:t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708" w:right="0" w:hanging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17780" distL="114300" distR="135890" simplePos="0" locked="0" layoutInCell="1" allowOverlap="1" relativeHeight="3" wp14:anchorId="2B05CDA8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3030" cy="78740"/>
                      <wp:effectExtent l="0" t="0" r="0" b="0"/>
                      <wp:wrapNone/>
                      <wp:docPr id="2" name="Retângul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" cy="7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600">
                                <a:solidFill>
                                  <a:srgbClr val="43729d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2" fillcolor="red" stroked="t" style="position:absolute;margin-left:4.25pt;margin-top:0.95pt;width:8.8pt;height:6.1pt" wp14:anchorId="2B05CDA8">
                      <w10:wrap type="none"/>
                      <v:fill o:detectmouseclick="t" type="solid" color2="aqua"/>
                      <v:stroke color="#43729d" weight="12600" joinstyle="miter" endcap="flat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REPROVADO &lt;Preencher quadro de Vermelho caso haja não-conformidades&gt;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ANÁLISE DE NÃO-CONFORMIDADES</w:t>
      </w:r>
    </w:p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07. DESCRIÇÃO DAS NÃO-CONFORMIDADES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No document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16"/>
                <w:szCs w:val="16"/>
              </w:rPr>
              <w:t xml:space="preserve">o 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color w:val="000000"/>
                <w:sz w:val="16"/>
                <w:szCs w:val="16"/>
              </w:rPr>
              <w:t>PG2016-1-PGP</w:t>
            </w:r>
            <w:r>
              <w:rPr>
                <w:rStyle w:val="Nfaseforte"/>
                <w:rFonts w:eastAsia="Arial" w:cs="Arial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6"/>
                <w:szCs w:val="16"/>
                <w:u w:val="none"/>
                <w:effect w:val="none"/>
              </w:rPr>
              <w:t xml:space="preserve"> &gt;&gt; 11 possui os campos para assinatura do Gerente de Projeto e Patrocinador do Projeto, porém esse documento não contempla evidências da assinatura de seu(s) patrocinador(es).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08. AUDITOR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Igor Q. Silva – Gerente de Qualidade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09. RESPONSÁVEL PELO ARTEFATO AUDITADO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10. GERENTE DA ÁREA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Matheus Ribeiro Pimenta Nunes – Gerente de Projeto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Matheus Ribeiro Pimenta Nunes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cs="Arial" w:ascii="Arial" w:hAnsi="Arial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24"/>
        </w:rPr>
      </w:pPr>
      <w:r>
        <w:rPr>
          <w:rFonts w:cs="Arial" w:ascii="Arial" w:hAnsi="Arial"/>
          <w:sz w:val="16"/>
          <w:szCs w:val="24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11. DATA DE ENCAMINHAMENTO AO GERENTE DE PROJETO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18/10/2016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  <w:szCs w:val="24"/>
              </w:rPr>
            </w:pPr>
            <w:r>
              <w:rPr>
                <w:rFonts w:cs="Arial" w:ascii="Arial" w:hAnsi="Arial"/>
                <w:b w:val="false"/>
                <w:sz w:val="16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  <w:szCs w:val="24"/>
        </w:rPr>
      </w:pPr>
      <w:r>
        <w:rPr>
          <w:rFonts w:cs="Arial" w:ascii="Arial" w:hAnsi="Arial"/>
          <w:b/>
          <w:sz w:val="16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AÇÕES CORRETIVAS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12. AÇÃO TOMADA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 xml:space="preserve">Houve contato com o patrocinador do projeto </w:t>
            </w: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para obtenção do documento com sua aprovação.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cs="Arial" w:ascii="Arial" w:hAnsi="Arial"/>
                <w:b w:val="false"/>
                <w:sz w:val="16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13.TEMPO  PREVISTO DE CORREÇÃO(TPC)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14.TEMPO REAL DE CORREÇÃO(TRC)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3 dia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20 dias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sz w:val="16"/>
        </w:rPr>
      </w:pPr>
      <w:r>
        <w:rPr>
          <w:rFonts w:cs="Arial" w:ascii="Arial" w:hAnsi="Arial"/>
          <w:b/>
          <w:sz w:val="16"/>
        </w:rPr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FFFFFF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15. RESPONSÁVEL PELA CORREÇÃO</w:t>
            </w:r>
          </w:p>
        </w:tc>
      </w:tr>
      <w:tr>
        <w:trPr/>
        <w:tc>
          <w:tcPr>
            <w:tcW w:w="849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Matheus Ribeiro Pimenta Nunes – Gerente de Projeto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16"/>
              </w:rPr>
            </w:pPr>
            <w:r>
              <w:rPr>
                <w:rFonts w:cs="Arial" w:ascii="Arial" w:hAnsi="Arial"/>
                <w:b w:val="false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494" w:type="dxa"/>
        <w:jc w:val="left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964"/>
        <w:gridCol w:w="4529"/>
      </w:tblGrid>
      <w:tr>
        <w:trPr/>
        <w:tc>
          <w:tcPr>
            <w:tcW w:w="39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16.QUANTIDADE DE NÃO-CONFORMIDADES CORREGIDAS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(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QNCC)</w:t>
            </w:r>
          </w:p>
        </w:tc>
        <w:tc>
          <w:tcPr>
            <w:tcW w:w="45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 xml:space="preserve">17. 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>ÍNDICE</w:t>
            </w:r>
            <w:r>
              <w:rPr>
                <w:rFonts w:eastAsia="Arial" w:cs="Arial" w:ascii="Arial" w:hAnsi="Arial"/>
                <w:b w:val="false"/>
                <w:bCs w:val="false"/>
                <w:color w:val="FFFFFF"/>
                <w:sz w:val="16"/>
                <w:szCs w:val="16"/>
              </w:rPr>
              <w:t xml:space="preserve"> DE DESEMPENHO DAS AÇÕES CORRETIVAS(IDAC)</w:t>
            </w:r>
          </w:p>
        </w:tc>
      </w:tr>
      <w:tr>
        <w:trPr/>
        <w:tc>
          <w:tcPr>
            <w:tcW w:w="396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16"/>
                <w:szCs w:val="16"/>
              </w:rPr>
              <w:t>1(uma)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2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  <w:insideH w:val="single" w:sz="4" w:space="0" w:color="C9C9C9"/>
              <w:insideV w:val="single" w:sz="4" w:space="0" w:color="C9C9C9"/>
            </w:tcBorders>
            <w:shd w:color="auto" w:fill="EDEDED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"/>
            <w:bookmarkEnd w:id="1"/>
            <w:r>
              <w:rPr>
                <w:rFonts w:eastAsia="Arial" w:cs="Arial" w:ascii="Arial" w:hAnsi="Arial"/>
                <w:sz w:val="16"/>
                <w:szCs w:val="16"/>
              </w:rPr>
              <w:t>100%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Arial" w:hAnsi="Arial" w:cs="Symbol"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heuspiment/PSW/blob/master/Projeto/GPR/PG2016-1-PGP.docx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LibreOffice/5.2.2.2$Windows_X86_64 LibreOffice_project/8f96e87c890bf8fa77463cd4b640a2312823f3ad</Application>
  <Pages>1</Pages>
  <Words>185</Words>
  <Characters>1150</Characters>
  <CharactersWithSpaces>1300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2016-11-04T22:44:00Z</dcterms:created>
  <dc:creator>IGoR Q. Silva</dc:creator>
  <dc:description/>
  <dc:language>pt-BR</dc:language>
  <cp:lastModifiedBy/>
  <dcterms:modified xsi:type="dcterms:W3CDTF">2016-11-08T17:06:38Z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