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r w:rsidR="00A835A7">
              <w:rPr>
                <w:rFonts w:ascii="Arial" w:eastAsia="Arial" w:hAnsi="Arial" w:cs="Arial"/>
              </w:rPr>
              <w:t>-(nº)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lastRenderedPageBreak/>
              <w:t>Checklist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Aprovação dos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-DAR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Comprometimento da Equipe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-DCE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Especificação de Caso de Uso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-ECU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Matriz de Rastreabilidade de Requisito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-MRR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 w:rsidTr="00457D1B">
        <w:trPr>
          <w:trHeight w:val="431"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Especificação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-EDR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3171"/>
        <w:gridCol w:w="5785"/>
      </w:tblGrid>
      <w:tr w:rsidR="00F06F6E" w:rsidTr="00685CEC">
        <w:tc>
          <w:tcPr>
            <w:tcW w:w="878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EDR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ECU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-M</w:t>
            </w:r>
            <w:r w:rsidR="00001A93">
              <w:rPr>
                <w:rFonts w:ascii="Arial" w:hAnsi="Arial"/>
              </w:rPr>
              <w:t>RR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 w:rsidR="00C61B7B">
              <w:rPr>
                <w:rFonts w:ascii="Arial" w:hAnsi="Arial"/>
              </w:rPr>
              <w:t>-D</w:t>
            </w:r>
            <w:r w:rsidR="00001A93">
              <w:rPr>
                <w:rFonts w:ascii="Arial" w:hAnsi="Arial"/>
              </w:rPr>
              <w:t>AR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CCR-1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001A93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001A93" w:rsidRDefault="001D6502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20766B">
              <w:rPr>
                <w:rFonts w:ascii="Arial" w:hAnsi="Arial"/>
              </w:rPr>
              <w:t>-CCR-2.docx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001A93">
              <w:rPr>
                <w:rFonts w:ascii="Arial" w:hAnsi="Arial"/>
              </w:rPr>
              <w:t>-DCE.</w:t>
            </w:r>
            <w:r w:rsidR="0020766B">
              <w:rPr>
                <w:rFonts w:ascii="Arial" w:hAnsi="Arial"/>
              </w:rPr>
              <w:t>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RIM</w:t>
            </w:r>
            <w:r w:rsidR="0020766B">
              <w:rPr>
                <w:rFonts w:ascii="Arial" w:hAnsi="Arial"/>
              </w:rPr>
              <w:t>.docx</w:t>
            </w:r>
            <w:bookmarkStart w:id="0" w:name="_GoBack"/>
            <w:bookmarkEnd w:id="0"/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5785" w:type="dxa"/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1C4" w:rsidRDefault="008031C4">
      <w:r>
        <w:separator/>
      </w:r>
    </w:p>
  </w:endnote>
  <w:endnote w:type="continuationSeparator" w:id="0">
    <w:p w:rsidR="008031C4" w:rsidRDefault="0080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1C4" w:rsidRDefault="008031C4">
      <w:r>
        <w:rPr>
          <w:color w:val="000000"/>
        </w:rPr>
        <w:separator/>
      </w:r>
    </w:p>
  </w:footnote>
  <w:footnote w:type="continuationSeparator" w:id="0">
    <w:p w:rsidR="008031C4" w:rsidRDefault="00803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D6502"/>
    <w:rsid w:val="0020766B"/>
    <w:rsid w:val="002810D6"/>
    <w:rsid w:val="002B28BA"/>
    <w:rsid w:val="00457D1B"/>
    <w:rsid w:val="0046225E"/>
    <w:rsid w:val="0056076D"/>
    <w:rsid w:val="00677AC5"/>
    <w:rsid w:val="00685CEC"/>
    <w:rsid w:val="006D1DBA"/>
    <w:rsid w:val="00767DCE"/>
    <w:rsid w:val="007D60FC"/>
    <w:rsid w:val="008031C4"/>
    <w:rsid w:val="008A3451"/>
    <w:rsid w:val="00A835A7"/>
    <w:rsid w:val="00B95A83"/>
    <w:rsid w:val="00C15C4D"/>
    <w:rsid w:val="00C61B7B"/>
    <w:rsid w:val="00CE2A44"/>
    <w:rsid w:val="00D72A1E"/>
    <w:rsid w:val="00DA6D8C"/>
    <w:rsid w:val="00EE65EE"/>
    <w:rsid w:val="00F06F6E"/>
    <w:rsid w:val="00F2404D"/>
    <w:rsid w:val="00F502C4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6FCA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18</cp:revision>
  <dcterms:created xsi:type="dcterms:W3CDTF">2016-10-27T15:17:00Z</dcterms:created>
  <dcterms:modified xsi:type="dcterms:W3CDTF">2016-10-31T16:23:00Z</dcterms:modified>
</cp:coreProperties>
</file>