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Introducción.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Definición del problema.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Objetivos.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Antecedentes.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Recursos.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Estado del arte.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Dispositivos móviles.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Java.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PhoneGap.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Android.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Requisitos.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Requisitos de usuario.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Requisitos del sistema.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3.2.1. </w:t>
        <w:tab/>
        <w:t xml:space="preserve">Requisitos de información..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3.2.2. </w:t>
        <w:tab/>
        <w:t xml:space="preserve">Requisitos funcionales.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3.2.3. </w:t>
        <w:tab/>
        <w:t xml:space="preserve">Requisitos no funcionales.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Planificación.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Framework.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Proceso.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Aplicación de Scrum a nuestro proyecto.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Pruebas.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Pruebas de caja negra.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5.1.1. </w:t>
        <w:tab/>
        <w:t xml:space="preserve">Caso de prueba 01..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5.1.2. </w:t>
        <w:tab/>
        <w:t xml:space="preserve">Caso de prueba 02..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5.1.3. </w:t>
        <w:tab/>
        <w:t xml:space="preserve">Caso de prueba 03..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5.1.4. </w:t>
        <w:tab/>
        <w:t xml:space="preserve">Caso de prueba 04..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5.1.5. </w:t>
        <w:tab/>
        <w:t xml:space="preserve">Caso de prueba 05..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5.1.6. </w:t>
        <w:tab/>
        <w:t xml:space="preserve">Caso de prueba 06..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5.1.7. </w:t>
        <w:tab/>
        <w:t xml:space="preserve">Caso de prueba 07..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5.1.8. </w:t>
        <w:tab/>
        <w:t xml:space="preserve">Caso de prueba 08..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5.1.9. </w:t>
        <w:tab/>
        <w:t xml:space="preserve">Caso de prueba 09..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5.1.10. </w:t>
        <w:tab/>
        <w:t xml:space="preserve">Caso de prueba 10..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5.1.11. </w:t>
        <w:tab/>
        <w:t xml:space="preserve">Caso de prueba 11..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5.1.12. </w:t>
        <w:tab/>
        <w:t xml:space="preserve">Caso de prueba 12..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Matriz Pruebas / RF.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Conclusiones.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Bibliografía.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