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Verified</w:t>
      </w:r>
      <w:r>
        <w:t xml:space="preserve"> </w:t>
      </w:r>
      <w:r>
        <w:t xml:space="preserve">Autonomy:</w:t>
      </w:r>
      <w:r>
        <w:t xml:space="preserve"> </w:t>
      </w:r>
      <w:r>
        <w:t xml:space="preserve">A</w:t>
      </w:r>
      <w:r>
        <w:t xml:space="preserve"> </w:t>
      </w:r>
      <w:r>
        <w:t xml:space="preserve">Field</w:t>
      </w:r>
      <w:r>
        <w:t xml:space="preserve"> </w:t>
      </w:r>
      <w:r>
        <w:t xml:space="preserve">Guide</w:t>
      </w:r>
      <w:r>
        <w:t xml:space="preserve"> </w:t>
      </w:r>
      <w:r>
        <w:t xml:space="preserve">to</w:t>
      </w:r>
      <w:r>
        <w:t xml:space="preserve"> </w:t>
      </w:r>
      <w:r>
        <w:t xml:space="preserve">Engineering</w:t>
      </w:r>
      <w:r>
        <w:t xml:space="preserve"> </w:t>
      </w:r>
      <w:r>
        <w:t xml:space="preserve">Trust</w:t>
      </w:r>
      <w:r>
        <w:t xml:space="preserve"> </w:t>
      </w:r>
      <w:r>
        <w:t xml:space="preserve">in</w:t>
      </w:r>
      <w:r>
        <w:t xml:space="preserve"> </w:t>
      </w:r>
      <w:r>
        <w:t xml:space="preserve">AI</w:t>
      </w:r>
      <w:r>
        <w:t xml:space="preserve"> </w:t>
      </w:r>
      <w:r>
        <w:t xml:space="preserve">Systems</w:t>
      </w:r>
    </w:p>
    <w:p>
      <w:pPr>
        <w:pStyle w:val="Author"/>
      </w:pPr>
      <w:r>
        <w:t xml:space="preserve">Ant</w:t>
      </w:r>
      <w:r>
        <w:t xml:space="preserve"> </w:t>
      </w:r>
      <w:r>
        <w:t xml:space="preserve">Newman</w:t>
      </w:r>
      <w:r>
        <w:rPr>
          <w:rStyle w:val="FootnoteReference"/>
        </w:rPr>
        <w:footnoteReference w:id="20"/>
      </w:r>
    </w:p>
    <w:p>
      <w:pPr>
        <w:pStyle w:val="Author"/>
      </w:pPr>
      <w:r>
        <w:t xml:space="preserve">Shanti</w:t>
      </w:r>
      <w:r>
        <w:t xml:space="preserve"> </w:t>
      </w:r>
      <w:r>
        <w:t xml:space="preserve">Greene</w:t>
      </w:r>
    </w:p>
    <w:p>
      <w:pPr>
        <w:pStyle w:val="Date"/>
      </w:pPr>
      <w:r>
        <w:t xml:space="preserve">April</w:t>
      </w:r>
      <w:r>
        <w:t xml:space="preserve"> </w:t>
      </w:r>
      <w:r>
        <w:t xml:space="preserve">2026</w:t>
      </w:r>
    </w:p>
    <w:p>
      <w:pPr>
        <w:pStyle w:val="AbstractTitle"/>
      </w:pPr>
      <w:r>
        <w:t xml:space="preserve">Abstract</w:t>
      </w:r>
    </w:p>
    <w:p>
      <w:pPr>
        <w:pStyle w:val="Abstract"/>
      </w:pPr>
      <w:r>
        <w:t xml:space="preserve">Production</w:t>
      </w:r>
      <w:r>
        <w:t xml:space="preserve"> </w:t>
      </w:r>
      <w:r>
        <w:t xml:space="preserve">AI</w:t>
      </w:r>
      <w:r>
        <w:t xml:space="preserve"> </w:t>
      </w:r>
      <w:r>
        <w:t xml:space="preserve">systems</w:t>
      </w:r>
      <w:r>
        <w:t xml:space="preserve"> </w:t>
      </w:r>
      <w:r>
        <w:t xml:space="preserve">routinely</w:t>
      </w:r>
      <w:r>
        <w:t xml:space="preserve"> </w:t>
      </w:r>
      <w:r>
        <w:t xml:space="preserve">report</w:t>
      </w:r>
      <w:r>
        <w:t xml:space="preserve"> </w:t>
      </w:r>
      <w:r>
        <w:t xml:space="preserve">confidence</w:t>
      </w:r>
      <w:r>
        <w:t xml:space="preserve"> </w:t>
      </w:r>
      <w:r>
        <w:t xml:space="preserve">scores</w:t>
      </w:r>
      <w:r>
        <w:t xml:space="preserve"> </w:t>
      </w:r>
      <w:r>
        <w:t xml:space="preserve">that</w:t>
      </w:r>
      <w:r>
        <w:t xml:space="preserve"> </w:t>
      </w:r>
      <w:r>
        <w:t xml:space="preserve">bear</w:t>
      </w:r>
      <w:r>
        <w:t xml:space="preserve"> </w:t>
      </w:r>
      <w:r>
        <w:t xml:space="preserve">no</w:t>
      </w:r>
      <w:r>
        <w:t xml:space="preserve"> </w:t>
      </w:r>
      <w:r>
        <w:t xml:space="preserve">reliable</w:t>
      </w:r>
      <w:r>
        <w:t xml:space="preserve"> </w:t>
      </w:r>
      <w:r>
        <w:t xml:space="preserve">relationship</w:t>
      </w:r>
      <w:r>
        <w:t xml:space="preserve"> </w:t>
      </w:r>
      <w:r>
        <w:t xml:space="preserve">to</w:t>
      </w:r>
      <w:r>
        <w:t xml:space="preserve"> </w:t>
      </w:r>
      <w:r>
        <w:t xml:space="preserve">their</w:t>
      </w:r>
      <w:r>
        <w:t xml:space="preserve"> </w:t>
      </w:r>
      <w:r>
        <w:t xml:space="preserve">actual</w:t>
      </w:r>
      <w:r>
        <w:t xml:space="preserve"> </w:t>
      </w:r>
      <w:r>
        <w:t xml:space="preserve">probability</w:t>
      </w:r>
      <w:r>
        <w:t xml:space="preserve"> </w:t>
      </w:r>
      <w:r>
        <w:t xml:space="preserve">of</w:t>
      </w:r>
      <w:r>
        <w:t xml:space="preserve"> </w:t>
      </w:r>
      <w:r>
        <w:t xml:space="preserve">being</w:t>
      </w:r>
      <w:r>
        <w:t xml:space="preserve"> </w:t>
      </w:r>
      <w:r>
        <w:t xml:space="preserve">correct.</w:t>
      </w:r>
      <w:r>
        <w:t xml:space="preserve"> </w:t>
      </w:r>
      <w:r>
        <w:t xml:space="preserve">Downstream</w:t>
      </w:r>
      <w:r>
        <w:t xml:space="preserve"> </w:t>
      </w:r>
      <w:r>
        <w:t xml:space="preserve">decisions—whether</w:t>
      </w:r>
      <w:r>
        <w:t xml:space="preserve"> </w:t>
      </w:r>
      <w:r>
        <w:t xml:space="preserve">to</w:t>
      </w:r>
      <w:r>
        <w:t xml:space="preserve"> </w:t>
      </w:r>
      <w:r>
        <w:t xml:space="preserve">auto-process</w:t>
      </w:r>
      <w:r>
        <w:t xml:space="preserve"> </w:t>
      </w:r>
      <w:r>
        <w:t xml:space="preserve">or</w:t>
      </w:r>
      <w:r>
        <w:t xml:space="preserve"> </w:t>
      </w:r>
      <w:r>
        <w:t xml:space="preserve">escalate,</w:t>
      </w:r>
      <w:r>
        <w:t xml:space="preserve"> </w:t>
      </w:r>
      <w:r>
        <w:t xml:space="preserve">whether</w:t>
      </w:r>
      <w:r>
        <w:t xml:space="preserve"> </w:t>
      </w:r>
      <w:r>
        <w:t xml:space="preserve">to</w:t>
      </w:r>
      <w:r>
        <w:t xml:space="preserve"> </w:t>
      </w:r>
      <w:r>
        <w:t xml:space="preserve">discharge</w:t>
      </w:r>
      <w:r>
        <w:t xml:space="preserve"> </w:t>
      </w:r>
      <w:r>
        <w:t xml:space="preserve">a</w:t>
      </w:r>
      <w:r>
        <w:t xml:space="preserve"> </w:t>
      </w:r>
      <w:r>
        <w:t xml:space="preserve">patient,</w:t>
      </w:r>
      <w:r>
        <w:t xml:space="preserve"> </w:t>
      </w:r>
      <w:r>
        <w:t xml:space="preserve">how</w:t>
      </w:r>
      <w:r>
        <w:t xml:space="preserve"> </w:t>
      </w:r>
      <w:r>
        <w:t xml:space="preserve">to</w:t>
      </w:r>
      <w:r>
        <w:t xml:space="preserve"> </w:t>
      </w:r>
      <w:r>
        <w:t xml:space="preserve">size</w:t>
      </w:r>
      <w:r>
        <w:t xml:space="preserve"> </w:t>
      </w:r>
      <w:r>
        <w:t xml:space="preserve">a</w:t>
      </w:r>
      <w:r>
        <w:t xml:space="preserve"> </w:t>
      </w:r>
      <w:r>
        <w:t xml:space="preserve">trading</w:t>
      </w:r>
      <w:r>
        <w:t xml:space="preserve"> </w:t>
      </w:r>
      <w:r>
        <w:t xml:space="preserve">position—depend</w:t>
      </w:r>
      <w:r>
        <w:t xml:space="preserve"> </w:t>
      </w:r>
      <w:r>
        <w:t xml:space="preserve">on</w:t>
      </w:r>
      <w:r>
        <w:t xml:space="preserve"> </w:t>
      </w:r>
      <w:r>
        <w:t xml:space="preserve">these</w:t>
      </w:r>
      <w:r>
        <w:t xml:space="preserve"> </w:t>
      </w:r>
      <w:r>
        <w:t xml:space="preserve">scores,</w:t>
      </w:r>
      <w:r>
        <w:t xml:space="preserve"> </w:t>
      </w:r>
      <w:r>
        <w:t xml:space="preserve">yet</w:t>
      </w:r>
      <w:r>
        <w:t xml:space="preserve"> </w:t>
      </w:r>
      <w:r>
        <w:t xml:space="preserve">no</w:t>
      </w:r>
      <w:r>
        <w:t xml:space="preserve"> </w:t>
      </w:r>
      <w:r>
        <w:t xml:space="preserve">unified</w:t>
      </w:r>
      <w:r>
        <w:t xml:space="preserve"> </w:t>
      </w:r>
      <w:r>
        <w:t xml:space="preserve">engineering</w:t>
      </w:r>
      <w:r>
        <w:t xml:space="preserve"> </w:t>
      </w:r>
      <w:r>
        <w:t xml:space="preserve">framework</w:t>
      </w:r>
      <w:r>
        <w:t xml:space="preserve"> </w:t>
      </w:r>
      <w:r>
        <w:t xml:space="preserve">exists</w:t>
      </w:r>
      <w:r>
        <w:t xml:space="preserve"> </w:t>
      </w:r>
      <w:r>
        <w:t xml:space="preserve">for</w:t>
      </w:r>
      <w:r>
        <w:t xml:space="preserve"> </w:t>
      </w:r>
      <w:r>
        <w:t xml:space="preserve">making</w:t>
      </w:r>
      <w:r>
        <w:t xml:space="preserve"> </w:t>
      </w:r>
      <w:r>
        <w:t xml:space="preserve">them</w:t>
      </w:r>
      <w:r>
        <w:t xml:space="preserve"> </w:t>
      </w:r>
      <w:r>
        <w:t xml:space="preserve">trustworthy.</w:t>
      </w:r>
    </w:p>
    <w:p>
      <w:pPr>
        <w:pStyle w:val="Abstract"/>
      </w:pPr>
      <w:r>
        <w:t xml:space="preserve">We</w:t>
      </w:r>
      <w:r>
        <w:t xml:space="preserve"> </w:t>
      </w:r>
      <w:r>
        <w:t xml:space="preserve">present</w:t>
      </w:r>
      <w:r>
        <w:t xml:space="preserve"> </w:t>
      </w:r>
      <w:r>
        <w:rPr>
          <w:iCs/>
          <w:i/>
        </w:rPr>
        <w:t xml:space="preserve">Verified</w:t>
      </w:r>
      <w:r>
        <w:rPr>
          <w:iCs/>
          <w:i/>
        </w:rPr>
        <w:t xml:space="preserve"> </w:t>
      </w:r>
      <w:r>
        <w:rPr>
          <w:iCs/>
          <w:i/>
        </w:rPr>
        <w:t xml:space="preserve">Autonomy</w:t>
      </w:r>
      <w:r>
        <w:t xml:space="preserve">,</w:t>
      </w:r>
      <w:r>
        <w:t xml:space="preserve"> </w:t>
      </w:r>
      <w:r>
        <w:t xml:space="preserve">a</w:t>
      </w:r>
      <w:r>
        <w:t xml:space="preserve"> </w:t>
      </w:r>
      <w:r>
        <w:t xml:space="preserve">nine-layer</w:t>
      </w:r>
      <w:r>
        <w:t xml:space="preserve"> </w:t>
      </w:r>
      <w:r>
        <w:t xml:space="preserve">defence-in-depth</w:t>
      </w:r>
      <w:r>
        <w:t xml:space="preserve"> </w:t>
      </w:r>
      <w:r>
        <w:t xml:space="preserve">architecture</w:t>
      </w:r>
      <w:r>
        <w:t xml:space="preserve"> </w:t>
      </w:r>
      <w:r>
        <w:t xml:space="preserve">for</w:t>
      </w:r>
      <w:r>
        <w:t xml:space="preserve"> </w:t>
      </w:r>
      <w:r>
        <w:t xml:space="preserve">engineering</w:t>
      </w:r>
      <w:r>
        <w:t xml:space="preserve"> </w:t>
      </w:r>
      <w:r>
        <w:t xml:space="preserve">trust</w:t>
      </w:r>
      <w:r>
        <w:t xml:space="preserve"> </w:t>
      </w:r>
      <w:r>
        <w:t xml:space="preserve">into</w:t>
      </w:r>
      <w:r>
        <w:t xml:space="preserve"> </w:t>
      </w:r>
      <w:r>
        <w:t xml:space="preserve">AI</w:t>
      </w:r>
      <w:r>
        <w:t xml:space="preserve"> </w:t>
      </w:r>
      <w:r>
        <w:t xml:space="preserve">systems.</w:t>
      </w:r>
      <w:r>
        <w:t xml:space="preserve"> </w:t>
      </w:r>
      <w:r>
        <w:t xml:space="preserve">Each</w:t>
      </w:r>
      <w:r>
        <w:t xml:space="preserve"> </w:t>
      </w:r>
      <w:r>
        <w:t xml:space="preserve">layer</w:t>
      </w:r>
      <w:r>
        <w:t xml:space="preserve"> </w:t>
      </w:r>
      <w:r>
        <w:t xml:space="preserve">addresses</w:t>
      </w:r>
      <w:r>
        <w:t xml:space="preserve"> </w:t>
      </w:r>
      <w:r>
        <w:t xml:space="preserve">a</w:t>
      </w:r>
      <w:r>
        <w:t xml:space="preserve"> </w:t>
      </w:r>
      <w:r>
        <w:t xml:space="preserve">specific</w:t>
      </w:r>
      <w:r>
        <w:t xml:space="preserve"> </w:t>
      </w:r>
      <w:r>
        <w:t xml:space="preserve">failure</w:t>
      </w:r>
      <w:r>
        <w:t xml:space="preserve"> </w:t>
      </w:r>
      <w:r>
        <w:t xml:space="preserve">mode:</w:t>
      </w:r>
      <w:r>
        <w:t xml:space="preserve"> </w:t>
      </w:r>
      <w:r>
        <w:t xml:space="preserve">inverse</w:t>
      </w:r>
      <w:r>
        <w:t xml:space="preserve"> </w:t>
      </w:r>
      <w:r>
        <w:t xml:space="preserve">confidence</w:t>
      </w:r>
      <w:r>
        <w:t xml:space="preserve"> </w:t>
      </w:r>
      <w:r>
        <w:t xml:space="preserve">weighting</w:t>
      </w:r>
      <w:r>
        <w:t xml:space="preserve"> </w:t>
      </w:r>
      <w:r>
        <w:t xml:space="preserve">surfaces</w:t>
      </w:r>
      <w:r>
        <w:t xml:space="preserve"> </w:t>
      </w:r>
      <w:r>
        <w:t xml:space="preserve">the</w:t>
      </w:r>
      <w:r>
        <w:t xml:space="preserve"> </w:t>
      </w:r>
      <w:r>
        <w:t xml:space="preserve">weakest</w:t>
      </w:r>
      <w:r>
        <w:t xml:space="preserve"> </w:t>
      </w:r>
      <w:r>
        <w:t xml:space="preserve">signal</w:t>
      </w:r>
      <w:r>
        <w:t xml:space="preserve"> </w:t>
      </w:r>
      <w:r>
        <w:t xml:space="preserve">in</w:t>
      </w:r>
      <w:r>
        <w:t xml:space="preserve"> </w:t>
      </w:r>
      <w:r>
        <w:t xml:space="preserve">multi-field</w:t>
      </w:r>
      <w:r>
        <w:t xml:space="preserve"> </w:t>
      </w:r>
      <w:r>
        <w:t xml:space="preserve">outputs;</w:t>
      </w:r>
      <w:r>
        <w:t xml:space="preserve"> </w:t>
      </w:r>
      <w:r>
        <w:t xml:space="preserve">outlier</w:t>
      </w:r>
      <w:r>
        <w:t xml:space="preserve"> </w:t>
      </w:r>
      <w:r>
        <w:t xml:space="preserve">detection</w:t>
      </w:r>
      <w:r>
        <w:t xml:space="preserve"> </w:t>
      </w:r>
      <w:r>
        <w:t xml:space="preserve">treats</w:t>
      </w:r>
      <w:r>
        <w:t xml:space="preserve"> </w:t>
      </w:r>
      <w:r>
        <w:t xml:space="preserve">statistical</w:t>
      </w:r>
      <w:r>
        <w:t xml:space="preserve"> </w:t>
      </w:r>
      <w:r>
        <w:t xml:space="preserve">disagreement</w:t>
      </w:r>
      <w:r>
        <w:t xml:space="preserve"> </w:t>
      </w:r>
      <w:r>
        <w:t xml:space="preserve">as</w:t>
      </w:r>
      <w:r>
        <w:t xml:space="preserve"> </w:t>
      </w:r>
      <w:r>
        <w:t xml:space="preserve">a</w:t>
      </w:r>
      <w:r>
        <w:t xml:space="preserve"> </w:t>
      </w:r>
      <w:r>
        <w:t xml:space="preserve">routing</w:t>
      </w:r>
      <w:r>
        <w:t xml:space="preserve"> </w:t>
      </w:r>
      <w:r>
        <w:t xml:space="preserve">signal;</w:t>
      </w:r>
      <w:r>
        <w:t xml:space="preserve"> </w:t>
      </w:r>
      <w:r>
        <w:t xml:space="preserve">a</w:t>
      </w:r>
      <w:r>
        <w:t xml:space="preserve"> </w:t>
      </w:r>
      <w:r>
        <w:t xml:space="preserve">potential</w:t>
      </w:r>
      <w:r>
        <w:t xml:space="preserve"> </w:t>
      </w:r>
      <w:r>
        <w:t xml:space="preserve">hallucinations</w:t>
      </w:r>
      <w:r>
        <w:t xml:space="preserve"> </w:t>
      </w:r>
      <w:r>
        <w:t xml:space="preserve">list</w:t>
      </w:r>
      <w:r>
        <w:t xml:space="preserve"> </w:t>
      </w:r>
      <w:r>
        <w:t xml:space="preserve">makes</w:t>
      </w:r>
      <w:r>
        <w:t xml:space="preserve"> </w:t>
      </w:r>
      <w:r>
        <w:t xml:space="preserve">suspicious</w:t>
      </w:r>
      <w:r>
        <w:t xml:space="preserve"> </w:t>
      </w:r>
      <w:r>
        <w:t xml:space="preserve">outputs</w:t>
      </w:r>
      <w:r>
        <w:t xml:space="preserve"> </w:t>
      </w:r>
      <w:r>
        <w:t xml:space="preserve">visible</w:t>
      </w:r>
      <w:r>
        <w:t xml:space="preserve"> </w:t>
      </w:r>
      <w:r>
        <w:t xml:space="preserve">rather</w:t>
      </w:r>
      <w:r>
        <w:t xml:space="preserve"> </w:t>
      </w:r>
      <w:r>
        <w:t xml:space="preserve">than</w:t>
      </w:r>
      <w:r>
        <w:t xml:space="preserve"> </w:t>
      </w:r>
      <w:r>
        <w:t xml:space="preserve">silently</w:t>
      </w:r>
      <w:r>
        <w:t xml:space="preserve"> </w:t>
      </w:r>
      <w:r>
        <w:t xml:space="preserve">filtering</w:t>
      </w:r>
      <w:r>
        <w:t xml:space="preserve"> </w:t>
      </w:r>
      <w:r>
        <w:t xml:space="preserve">them;</w:t>
      </w:r>
      <w:r>
        <w:t xml:space="preserve"> </w:t>
      </w:r>
      <w:r>
        <w:t xml:space="preserve">conformal</w:t>
      </w:r>
      <w:r>
        <w:t xml:space="preserve"> </w:t>
      </w:r>
      <w:r>
        <w:t xml:space="preserve">prediction</w:t>
      </w:r>
      <w:r>
        <w:t xml:space="preserve"> </w:t>
      </w:r>
      <w:r>
        <w:t xml:space="preserve">provides</w:t>
      </w:r>
      <w:r>
        <w:t xml:space="preserve"> </w:t>
      </w:r>
      <w:r>
        <w:t xml:space="preserve">the</w:t>
      </w:r>
      <w:r>
        <w:t xml:space="preserve"> </w:t>
      </w:r>
      <w:r>
        <w:t xml:space="preserve">only</w:t>
      </w:r>
      <w:r>
        <w:t xml:space="preserve"> </w:t>
      </w:r>
      <w:r>
        <w:t xml:space="preserve">confidence</w:t>
      </w:r>
      <w:r>
        <w:t xml:space="preserve"> </w:t>
      </w:r>
      <w:r>
        <w:t xml:space="preserve">score</w:t>
      </w:r>
      <w:r>
        <w:t xml:space="preserve"> </w:t>
      </w:r>
      <w:r>
        <w:t xml:space="preserve">with</w:t>
      </w:r>
      <w:r>
        <w:t xml:space="preserve"> </w:t>
      </w:r>
      <w:r>
        <w:t xml:space="preserve">a</w:t>
      </w:r>
      <w:r>
        <w:t xml:space="preserve"> </w:t>
      </w:r>
      <w:r>
        <w:t xml:space="preserve">formal</w:t>
      </w:r>
      <w:r>
        <w:t xml:space="preserve"> </w:t>
      </w:r>
      <w:r>
        <w:t xml:space="preserve">coverage</w:t>
      </w:r>
      <w:r>
        <w:t xml:space="preserve"> </w:t>
      </w:r>
      <w:r>
        <w:t xml:space="preserve">guarantee;</w:t>
      </w:r>
      <w:r>
        <w:t xml:space="preserve"> </w:t>
      </w:r>
      <w:r>
        <w:t xml:space="preserve">deterministic</w:t>
      </w:r>
      <w:r>
        <w:t xml:space="preserve"> </w:t>
      </w:r>
      <w:r>
        <w:t xml:space="preserve">guardrails</w:t>
      </w:r>
      <w:r>
        <w:t xml:space="preserve"> </w:t>
      </w:r>
      <w:r>
        <w:t xml:space="preserve">enforce</w:t>
      </w:r>
      <w:r>
        <w:t xml:space="preserve"> </w:t>
      </w:r>
      <w:r>
        <w:t xml:space="preserve">auditable</w:t>
      </w:r>
      <w:r>
        <w:t xml:space="preserve"> </w:t>
      </w:r>
      <w:r>
        <w:t xml:space="preserve">policy;</w:t>
      </w:r>
      <w:r>
        <w:t xml:space="preserve"> </w:t>
      </w:r>
      <w:r>
        <w:t xml:space="preserve">retrieval-augmented</w:t>
      </w:r>
      <w:r>
        <w:t xml:space="preserve"> </w:t>
      </w:r>
      <w:r>
        <w:t xml:space="preserve">generation</w:t>
      </w:r>
      <w:r>
        <w:t xml:space="preserve"> </w:t>
      </w:r>
      <w:r>
        <w:t xml:space="preserve">shifts</w:t>
      </w:r>
      <w:r>
        <w:t xml:space="preserve"> </w:t>
      </w:r>
      <w:r>
        <w:t xml:space="preserve">trust</w:t>
      </w:r>
      <w:r>
        <w:t xml:space="preserve"> </w:t>
      </w:r>
      <w:r>
        <w:t xml:space="preserve">from</w:t>
      </w:r>
      <w:r>
        <w:t xml:space="preserve"> </w:t>
      </w:r>
      <w:r>
        <w:t xml:space="preserve">model</w:t>
      </w:r>
      <w:r>
        <w:t xml:space="preserve"> </w:t>
      </w:r>
      <w:r>
        <w:t xml:space="preserve">intent</w:t>
      </w:r>
      <w:r>
        <w:t xml:space="preserve"> </w:t>
      </w:r>
      <w:r>
        <w:t xml:space="preserve">to</w:t>
      </w:r>
      <w:r>
        <w:t xml:space="preserve"> </w:t>
      </w:r>
      <w:r>
        <w:t xml:space="preserve">source</w:t>
      </w:r>
      <w:r>
        <w:t xml:space="preserve"> </w:t>
      </w:r>
      <w:r>
        <w:t xml:space="preserve">facticity;</w:t>
      </w:r>
      <w:r>
        <w:t xml:space="preserve"> </w:t>
      </w:r>
      <w:r>
        <w:t xml:space="preserve">adversarial</w:t>
      </w:r>
      <w:r>
        <w:t xml:space="preserve"> </w:t>
      </w:r>
      <w:r>
        <w:t xml:space="preserve">testing</w:t>
      </w:r>
      <w:r>
        <w:t xml:space="preserve"> </w:t>
      </w:r>
      <w:r>
        <w:t xml:space="preserve">finds</w:t>
      </w:r>
      <w:r>
        <w:t xml:space="preserve"> </w:t>
      </w:r>
      <w:r>
        <w:t xml:space="preserve">failure</w:t>
      </w:r>
      <w:r>
        <w:t xml:space="preserve"> </w:t>
      </w:r>
      <w:r>
        <w:t xml:space="preserve">modes</w:t>
      </w:r>
      <w:r>
        <w:t xml:space="preserve"> </w:t>
      </w:r>
      <w:r>
        <w:t xml:space="preserve">before</w:t>
      </w:r>
      <w:r>
        <w:t xml:space="preserve"> </w:t>
      </w:r>
      <w:r>
        <w:t xml:space="preserve">deployment;</w:t>
      </w:r>
      <w:r>
        <w:t xml:space="preserve"> </w:t>
      </w:r>
      <w:r>
        <w:t xml:space="preserve">cryptographic</w:t>
      </w:r>
      <w:r>
        <w:t xml:space="preserve"> </w:t>
      </w:r>
      <w:r>
        <w:t xml:space="preserve">audit</w:t>
      </w:r>
      <w:r>
        <w:t xml:space="preserve"> </w:t>
      </w:r>
      <w:r>
        <w:t xml:space="preserve">trails</w:t>
      </w:r>
      <w:r>
        <w:t xml:space="preserve"> </w:t>
      </w:r>
      <w:r>
        <w:t xml:space="preserve">prove</w:t>
      </w:r>
      <w:r>
        <w:t xml:space="preserve"> </w:t>
      </w:r>
      <w:r>
        <w:t xml:space="preserve">what</w:t>
      </w:r>
      <w:r>
        <w:t xml:space="preserve"> </w:t>
      </w:r>
      <w:r>
        <w:t xml:space="preserve">the</w:t>
      </w:r>
      <w:r>
        <w:t xml:space="preserve"> </w:t>
      </w:r>
      <w:r>
        <w:t xml:space="preserve">system</w:t>
      </w:r>
      <w:r>
        <w:t xml:space="preserve"> </w:t>
      </w:r>
      <w:r>
        <w:t xml:space="preserve">decided;</w:t>
      </w:r>
      <w:r>
        <w:t xml:space="preserve"> </w:t>
      </w:r>
      <w:r>
        <w:t xml:space="preserve">and</w:t>
      </w:r>
      <w:r>
        <w:t xml:space="preserve"> </w:t>
      </w:r>
      <w:r>
        <w:t xml:space="preserve">formal</w:t>
      </w:r>
      <w:r>
        <w:t xml:space="preserve"> </w:t>
      </w:r>
      <w:r>
        <w:t xml:space="preserve">verification</w:t>
      </w:r>
      <w:r>
        <w:t xml:space="preserve"> </w:t>
      </w:r>
      <w:r>
        <w:t xml:space="preserve">provides</w:t>
      </w:r>
      <w:r>
        <w:t xml:space="preserve"> </w:t>
      </w:r>
      <w:r>
        <w:t xml:space="preserve">mathematical</w:t>
      </w:r>
      <w:r>
        <w:t xml:space="preserve"> </w:t>
      </w:r>
      <w:r>
        <w:t xml:space="preserve">proofs</w:t>
      </w:r>
      <w:r>
        <w:t xml:space="preserve"> </w:t>
      </w:r>
      <w:r>
        <w:t xml:space="preserve">for</w:t>
      </w:r>
      <w:r>
        <w:t xml:space="preserve"> </w:t>
      </w:r>
      <w:r>
        <w:t xml:space="preserve">safety-critical</w:t>
      </w:r>
      <w:r>
        <w:t xml:space="preserve"> </w:t>
      </w:r>
      <w:r>
        <w:t xml:space="preserve">components.</w:t>
      </w:r>
    </w:p>
    <w:p>
      <w:pPr>
        <w:pStyle w:val="Abstract"/>
      </w:pPr>
      <w:r>
        <w:t xml:space="preserve">The</w:t>
      </w:r>
      <w:r>
        <w:t xml:space="preserve"> </w:t>
      </w:r>
      <w:r>
        <w:t xml:space="preserve">central</w:t>
      </w:r>
      <w:r>
        <w:t xml:space="preserve"> </w:t>
      </w:r>
      <w:r>
        <w:t xml:space="preserve">argument</w:t>
      </w:r>
      <w:r>
        <w:t xml:space="preserve"> </w:t>
      </w:r>
      <w:r>
        <w:t xml:space="preserve">is</w:t>
      </w:r>
      <w:r>
        <w:t xml:space="preserve"> </w:t>
      </w:r>
      <w:r>
        <w:t xml:space="preserve">that</w:t>
      </w:r>
      <w:r>
        <w:t xml:space="preserve"> </w:t>
      </w:r>
      <w:r>
        <w:t xml:space="preserve">trust</w:t>
      </w:r>
      <w:r>
        <w:t xml:space="preserve"> </w:t>
      </w:r>
      <w:r>
        <w:t xml:space="preserve">is</w:t>
      </w:r>
      <w:r>
        <w:t xml:space="preserve"> </w:t>
      </w:r>
      <w:r>
        <w:t xml:space="preserve">not</w:t>
      </w:r>
      <w:r>
        <w:t xml:space="preserve"> </w:t>
      </w:r>
      <w:r>
        <w:t xml:space="preserve">a</w:t>
      </w:r>
      <w:r>
        <w:t xml:space="preserve"> </w:t>
      </w:r>
      <w:r>
        <w:t xml:space="preserve">feature</w:t>
      </w:r>
      <w:r>
        <w:t xml:space="preserve"> </w:t>
      </w:r>
      <w:r>
        <w:t xml:space="preserve">of</w:t>
      </w:r>
      <w:r>
        <w:t xml:space="preserve"> </w:t>
      </w:r>
      <w:r>
        <w:t xml:space="preserve">any</w:t>
      </w:r>
      <w:r>
        <w:t xml:space="preserve"> </w:t>
      </w:r>
      <w:r>
        <w:t xml:space="preserve">single</w:t>
      </w:r>
      <w:r>
        <w:t xml:space="preserve"> </w:t>
      </w:r>
      <w:r>
        <w:t xml:space="preserve">technique—it</w:t>
      </w:r>
      <w:r>
        <w:t xml:space="preserve"> </w:t>
      </w:r>
      <w:r>
        <w:t xml:space="preserve">is</w:t>
      </w:r>
      <w:r>
        <w:t xml:space="preserve"> </w:t>
      </w:r>
      <w:r>
        <w:t xml:space="preserve">an</w:t>
      </w:r>
      <w:r>
        <w:t xml:space="preserve"> </w:t>
      </w:r>
      <w:r>
        <w:t xml:space="preserve">emergent</w:t>
      </w:r>
      <w:r>
        <w:t xml:space="preserve"> </w:t>
      </w:r>
      <w:r>
        <w:t xml:space="preserve">property</w:t>
      </w:r>
      <w:r>
        <w:t xml:space="preserve"> </w:t>
      </w:r>
      <w:r>
        <w:t xml:space="preserve">of</w:t>
      </w:r>
      <w:r>
        <w:t xml:space="preserve"> </w:t>
      </w:r>
      <w:r>
        <w:t xml:space="preserve">a</w:t>
      </w:r>
      <w:r>
        <w:t xml:space="preserve"> </w:t>
      </w:r>
      <w:r>
        <w:t xml:space="preserve">layered</w:t>
      </w:r>
      <w:r>
        <w:t xml:space="preserve"> </w:t>
      </w:r>
      <w:r>
        <w:t xml:space="preserve">architecture</w:t>
      </w:r>
      <w:r>
        <w:t xml:space="preserve"> </w:t>
      </w:r>
      <w:r>
        <w:t xml:space="preserve">where</w:t>
      </w:r>
      <w:r>
        <w:t xml:space="preserve"> </w:t>
      </w:r>
      <w:r>
        <w:t xml:space="preserve">each</w:t>
      </w:r>
      <w:r>
        <w:t xml:space="preserve"> </w:t>
      </w:r>
      <w:r>
        <w:t xml:space="preserve">layer</w:t>
      </w:r>
      <w:r>
        <w:t xml:space="preserve"> </w:t>
      </w:r>
      <w:r>
        <w:t xml:space="preserve">compensates</w:t>
      </w:r>
      <w:r>
        <w:t xml:space="preserve"> </w:t>
      </w:r>
      <w:r>
        <w:t xml:space="preserve">for</w:t>
      </w:r>
      <w:r>
        <w:t xml:space="preserve"> </w:t>
      </w:r>
      <w:r>
        <w:t xml:space="preserve">the</w:t>
      </w:r>
      <w:r>
        <w:t xml:space="preserve"> </w:t>
      </w:r>
      <w:r>
        <w:t xml:space="preserve">failure</w:t>
      </w:r>
      <w:r>
        <w:t xml:space="preserve"> </w:t>
      </w:r>
      <w:r>
        <w:t xml:space="preserve">modes</w:t>
      </w:r>
      <w:r>
        <w:t xml:space="preserve"> </w:t>
      </w:r>
      <w:r>
        <w:t xml:space="preserve">of</w:t>
      </w:r>
      <w:r>
        <w:t xml:space="preserve"> </w:t>
      </w:r>
      <w:r>
        <w:t xml:space="preserve">the</w:t>
      </w:r>
      <w:r>
        <w:t xml:space="preserve"> </w:t>
      </w:r>
      <w:r>
        <w:t xml:space="preserve">others.</w:t>
      </w:r>
      <w:r>
        <w:t xml:space="preserve"> </w:t>
      </w:r>
      <w:r>
        <w:t xml:space="preserve">We</w:t>
      </w:r>
      <w:r>
        <w:t xml:space="preserve"> </w:t>
      </w:r>
      <w:r>
        <w:t xml:space="preserve">ground</w:t>
      </w:r>
      <w:r>
        <w:t xml:space="preserve"> </w:t>
      </w:r>
      <w:r>
        <w:t xml:space="preserve">this</w:t>
      </w:r>
      <w:r>
        <w:t xml:space="preserve"> </w:t>
      </w:r>
      <w:r>
        <w:t xml:space="preserve">argument</w:t>
      </w:r>
      <w:r>
        <w:t xml:space="preserve"> </w:t>
      </w:r>
      <w:r>
        <w:t xml:space="preserve">in</w:t>
      </w:r>
      <w:r>
        <w:t xml:space="preserve"> </w:t>
      </w:r>
      <w:r>
        <w:t xml:space="preserve">the</w:t>
      </w:r>
      <w:r>
        <w:t xml:space="preserve"> </w:t>
      </w:r>
      <w:r>
        <w:t xml:space="preserve">Integrity</w:t>
      </w:r>
      <w:r>
        <w:t xml:space="preserve"> </w:t>
      </w:r>
      <w:r>
        <w:t xml:space="preserve">Clash</w:t>
      </w:r>
      <w:r>
        <w:t xml:space="preserve"> </w:t>
      </w:r>
      <w:r>
        <w:t xml:space="preserve">vulnerability</w:t>
      </w:r>
      <w:r>
        <w:t xml:space="preserve"> </w:t>
      </w:r>
      <w:r>
        <w:t xml:space="preserve">(Nemecek</w:t>
      </w:r>
      <w:r>
        <w:t xml:space="preserve"> </w:t>
      </w:r>
      <w:r>
        <w:t xml:space="preserve">et</w:t>
      </w:r>
      <w:r>
        <w:t xml:space="preserve"> </w:t>
      </w:r>
      <w:r>
        <w:t xml:space="preserve">al.</w:t>
      </w:r>
      <w:r>
        <w:t xml:space="preserve"> </w:t>
      </w:r>
      <w:r>
        <w:t xml:space="preserve">2026)</w:t>
      </w:r>
      <w:r>
        <w:t xml:space="preserve">,</w:t>
      </w:r>
      <w:r>
        <w:t xml:space="preserve"> </w:t>
      </w:r>
      <w:r>
        <w:t xml:space="preserve">which</w:t>
      </w:r>
      <w:r>
        <w:t xml:space="preserve"> </w:t>
      </w:r>
      <w:r>
        <w:t xml:space="preserve">demonstrates</w:t>
      </w:r>
      <w:r>
        <w:t xml:space="preserve"> </w:t>
      </w:r>
      <w:r>
        <w:t xml:space="preserve">that</w:t>
      </w:r>
      <w:r>
        <w:t xml:space="preserve"> </w:t>
      </w:r>
      <w:r>
        <w:t xml:space="preserve">independent</w:t>
      </w:r>
      <w:r>
        <w:t xml:space="preserve"> </w:t>
      </w:r>
      <w:r>
        <w:t xml:space="preserve">verification</w:t>
      </w:r>
      <w:r>
        <w:t xml:space="preserve"> </w:t>
      </w:r>
      <w:r>
        <w:t xml:space="preserve">layers</w:t>
      </w:r>
      <w:r>
        <w:t xml:space="preserve"> </w:t>
      </w:r>
      <w:r>
        <w:t xml:space="preserve">that</w:t>
      </w:r>
      <w:r>
        <w:t xml:space="preserve"> </w:t>
      </w:r>
      <w:r>
        <w:t xml:space="preserve">do</w:t>
      </w:r>
      <w:r>
        <w:t xml:space="preserve"> </w:t>
      </w:r>
      <w:r>
        <w:t xml:space="preserve">not</w:t>
      </w:r>
      <w:r>
        <w:t xml:space="preserve"> </w:t>
      </w:r>
      <w:r>
        <w:t xml:space="preserve">cross-validate</w:t>
      </w:r>
      <w:r>
        <w:t xml:space="preserve"> </w:t>
      </w:r>
      <w:r>
        <w:t xml:space="preserve">each</w:t>
      </w:r>
      <w:r>
        <w:t xml:space="preserve"> </w:t>
      </w:r>
      <w:r>
        <w:t xml:space="preserve">other</w:t>
      </w:r>
      <w:r>
        <w:t xml:space="preserve"> </w:t>
      </w:r>
      <w:r>
        <w:t xml:space="preserve">create</w:t>
      </w:r>
      <w:r>
        <w:t xml:space="preserve"> </w:t>
      </w:r>
      <w:r>
        <w:t xml:space="preserve">exploitable</w:t>
      </w:r>
      <w:r>
        <w:t xml:space="preserve"> </w:t>
      </w:r>
      <w:r>
        <w:t xml:space="preserve">gaps.</w:t>
      </w:r>
    </w:p>
    <w:p>
      <w:pPr>
        <w:pStyle w:val="Abstract"/>
      </w:pPr>
      <w:r>
        <w:t xml:space="preserve">All</w:t>
      </w:r>
      <w:r>
        <w:t xml:space="preserve"> </w:t>
      </w:r>
      <w:r>
        <w:t xml:space="preserve">nine</w:t>
      </w:r>
      <w:r>
        <w:t xml:space="preserve"> </w:t>
      </w:r>
      <w:r>
        <w:t xml:space="preserve">layers</w:t>
      </w:r>
      <w:r>
        <w:t xml:space="preserve"> </w:t>
      </w:r>
      <w:r>
        <w:t xml:space="preserve">are</w:t>
      </w:r>
      <w:r>
        <w:t xml:space="preserve"> </w:t>
      </w:r>
      <w:r>
        <w:t xml:space="preserve">accompanied</w:t>
      </w:r>
      <w:r>
        <w:t xml:space="preserve"> </w:t>
      </w:r>
      <w:r>
        <w:t xml:space="preserve">by</w:t>
      </w:r>
      <w:r>
        <w:t xml:space="preserve"> </w:t>
      </w:r>
      <w:r>
        <w:t xml:space="preserve">open-source</w:t>
      </w:r>
      <w:r>
        <w:t xml:space="preserve"> </w:t>
      </w:r>
      <w:r>
        <w:t xml:space="preserve">reference</w:t>
      </w:r>
      <w:r>
        <w:t xml:space="preserve"> </w:t>
      </w:r>
      <w:r>
        <w:t xml:space="preserve">implementations</w:t>
      </w:r>
      <w:r>
        <w:t xml:space="preserve"> </w:t>
      </w:r>
      <w:r>
        <w:t xml:space="preserve">(475 tests,</w:t>
      </w:r>
      <w:r>
        <w:t xml:space="preserve"> </w:t>
      </w:r>
      <w:r>
        <w:t xml:space="preserve">98–100%</w:t>
      </w:r>
      <w:r>
        <w:t xml:space="preserve"> </w:t>
      </w:r>
      <w:r>
        <w:t xml:space="preserve">coverage)</w:t>
      </w:r>
      <w:r>
        <w:t xml:space="preserve"> </w:t>
      </w:r>
      <w:r>
        <w:t xml:space="preserve">runnable</w:t>
      </w:r>
      <w:r>
        <w:t xml:space="preserve"> </w:t>
      </w:r>
      <w:r>
        <w:t xml:space="preserve">in</w:t>
      </w:r>
      <w:r>
        <w:t xml:space="preserve"> </w:t>
      </w:r>
      <w:r>
        <w:t xml:space="preserve">isolation</w:t>
      </w:r>
      <w:r>
        <w:t xml:space="preserve"> </w:t>
      </w:r>
      <w:r>
        <w:t xml:space="preserve">with</w:t>
      </w:r>
      <w:r>
        <w:t xml:space="preserve"> </w:t>
      </w:r>
      <w:r>
        <w:t xml:space="preserve">a</w:t>
      </w:r>
      <w:r>
        <w:t xml:space="preserve"> </w:t>
      </w:r>
      <w:r>
        <w:t xml:space="preserve">single</w:t>
      </w:r>
      <w:r>
        <w:t xml:space="preserve"> </w:t>
      </w:r>
      <w:r>
        <w:t xml:space="preserve">command.</w:t>
      </w:r>
      <w:r>
        <w:t xml:space="preserve"> </w:t>
      </w:r>
      <w:r>
        <w:t xml:space="preserve">The</w:t>
      </w:r>
      <w:r>
        <w:t xml:space="preserve"> </w:t>
      </w:r>
      <w:r>
        <w:t xml:space="preserve">field</w:t>
      </w:r>
      <w:r>
        <w:t xml:space="preserve"> </w:t>
      </w:r>
      <w:r>
        <w:t xml:space="preserve">guide,</w:t>
      </w:r>
      <w:r>
        <w:t xml:space="preserve"> </w:t>
      </w:r>
      <w:r>
        <w:t xml:space="preserve">code,</w:t>
      </w:r>
      <w:r>
        <w:t xml:space="preserve"> </w:t>
      </w:r>
      <w:r>
        <w:t xml:space="preserve">and</w:t>
      </w:r>
      <w:r>
        <w:t xml:space="preserve"> </w:t>
      </w:r>
      <w:r>
        <w:t xml:space="preserve">this</w:t>
      </w:r>
      <w:r>
        <w:t xml:space="preserve"> </w:t>
      </w:r>
      <w:r>
        <w:t xml:space="preserve">paper</w:t>
      </w:r>
      <w:r>
        <w:t xml:space="preserve"> </w:t>
      </w:r>
      <w:r>
        <w:t xml:space="preserve">are</w:t>
      </w:r>
      <w:r>
        <w:t xml:space="preserve"> </w:t>
      </w:r>
      <w:r>
        <w:t xml:space="preserve">available</w:t>
      </w:r>
      <w:r>
        <w:t xml:space="preserve"> </w:t>
      </w:r>
      <w:r>
        <w:t xml:space="preserve">at</w:t>
      </w:r>
      <w:r>
        <w:t xml:space="preserve"> </w:t>
      </w:r>
      <w:hyperlink r:id="rId21">
        <w:r>
          <w:rPr>
            <w:rStyle w:val="Hyperlink"/>
          </w:rPr>
          <w:t xml:space="preserve">https://github.com/antnewman/verified-autonomy</w:t>
        </w:r>
      </w:hyperlink>
      <w:r>
        <w:t xml:space="preserve"> </w:t>
      </w:r>
      <w:r>
        <w:t xml:space="preserve">under</w:t>
      </w:r>
      <w:r>
        <w:t xml:space="preserve"> </w:t>
      </w:r>
      <w:r>
        <w:t xml:space="preserve">CC BY 4.0</w:t>
      </w:r>
      <w:r>
        <w:t xml:space="preserve"> </w:t>
      </w:r>
      <w:r>
        <w:t xml:space="preserve">(content)</w:t>
      </w:r>
      <w:r>
        <w:t xml:space="preserve"> </w:t>
      </w:r>
      <w:r>
        <w:t xml:space="preserve">and</w:t>
      </w:r>
      <w:r>
        <w:t xml:space="preserve"> </w:t>
      </w:r>
      <w:r>
        <w:t xml:space="preserve">MIT</w:t>
      </w:r>
      <w:r>
        <w:t xml:space="preserve"> </w:t>
      </w:r>
      <w:r>
        <w:t xml:space="preserve">(code).</w:t>
      </w:r>
    </w:p>
    <w:p>
      <w:pPr>
        <w:pStyle w:val="FirstParagraph"/>
      </w:pPr>
      <w:r>
        <w:rPr>
          <w:bCs/>
          <w:b/>
        </w:rPr>
        <w:t xml:space="preserve">Keywords:</w:t>
      </w:r>
      <w:r>
        <w:t xml:space="preserve"> </w:t>
      </w:r>
      <w:r>
        <w:t xml:space="preserve">AI trust, defence in depth, conformal prediction, calibration, adversarial testing, formal verification, audit trails, RAG explainability, guardrails, open source</w:t>
      </w:r>
    </w:p>
    <w:bookmarkStart w:id="22" w:name="sec:introduction"/>
    <w:p>
      <w:pPr>
        <w:pStyle w:val="Heading1"/>
      </w:pPr>
      <w:r>
        <w:t xml:space="preserve">Introduction</w:t>
      </w:r>
    </w:p>
    <w:p>
      <w:pPr>
        <w:pStyle w:val="FirstParagraph"/>
      </w:pPr>
      <w:r>
        <w:t xml:space="preserve">A model that reports 90% confidence should be correct 90% of the time.</w:t>
      </w:r>
      <w:r>
        <w:t xml:space="preserve"> </w:t>
      </w:r>
      <w:r>
        <w:t xml:space="preserve">In practice, it is often not.</w:t>
      </w:r>
      <w:r>
        <w:t xml:space="preserve"> </w:t>
      </w:r>
      <w:r>
        <w:t xml:space="preserve">Guo et al. (2017)</w:t>
      </w:r>
      <w:r>
        <w:t xml:space="preserve"> </w:t>
      </w:r>
      <w:r>
        <w:t xml:space="preserve">demonstrated that modern deep neural networks are severely overconfident: a 110-layer ResNet on CIFAR-100 produced an Expected Calibration Error (ECE) of 12.75%, meaning its stated confidences bore little relationship to its actual accuracy.</w:t>
      </w:r>
      <w:r>
        <w:t xml:space="preserve"> </w:t>
      </w:r>
      <w:r>
        <w:t xml:space="preserve">Moradi et al. (2025)</w:t>
      </w:r>
      <w:r>
        <w:t xml:space="preserve"> </w:t>
      </w:r>
      <w:r>
        <w:t xml:space="preserve">evaluated NREL’s probabilistic solar energy forecasts and found that models designed to produce 90% prediction intervals captured actual outcomes only 47.9–83% of the time, depending on aggregation level.</w:t>
      </w:r>
      <w:r>
        <w:t xml:space="preserve"> </w:t>
      </w:r>
      <w:r>
        <w:t xml:space="preserve">Decisions about energy grid management, hospital discharge timing, and financial position sizing are made on the basis of these confidence scores.</w:t>
      </w:r>
    </w:p>
    <w:p>
      <w:pPr>
        <w:pStyle w:val="BodyText"/>
      </w:pPr>
      <w:r>
        <w:t xml:space="preserve">The individual techniques for addressing this problem are well-studied.</w:t>
      </w:r>
      <w:r>
        <w:t xml:space="preserve"> </w:t>
      </w:r>
      <w:r>
        <w:t xml:space="preserve">Conformal prediction provides distribution-free coverage guarantees</w:t>
      </w:r>
      <w:r>
        <w:t xml:space="preserve"> </w:t>
      </w:r>
      <w:r>
        <w:t xml:space="preserve">(Vovk, Gammerman, and Shafer 2005; Angelopoulos and Bates 2023)</w:t>
      </w:r>
      <w:r>
        <w:t xml:space="preserve">.</w:t>
      </w:r>
      <w:r>
        <w:t xml:space="preserve"> </w:t>
      </w:r>
      <w:r>
        <w:t xml:space="preserve">Temperature scaling reduces overconfidence with a single learned parameter</w:t>
      </w:r>
      <w:r>
        <w:t xml:space="preserve"> </w:t>
      </w:r>
      <w:r>
        <w:t xml:space="preserve">(Guo et al. 2017)</w:t>
      </w:r>
      <w:r>
        <w:t xml:space="preserve">.</w:t>
      </w:r>
      <w:r>
        <w:t xml:space="preserve"> </w:t>
      </w:r>
      <w:r>
        <w:t xml:space="preserve">Deterministic rule engines enforce auditable policy</w:t>
      </w:r>
      <w:r>
        <w:t xml:space="preserve"> </w:t>
      </w:r>
      <w:r>
        <w:t xml:space="preserve">(International Organization for Standardization 2023)</w:t>
      </w:r>
      <w:r>
        <w:t xml:space="preserve">.</w:t>
      </w:r>
      <w:r>
        <w:t xml:space="preserve"> </w:t>
      </w:r>
      <w:r>
        <w:t xml:space="preserve">Adversarial testing discovers failure modes</w:t>
      </w:r>
      <w:r>
        <w:t xml:space="preserve"> </w:t>
      </w:r>
      <w:r>
        <w:t xml:space="preserve">(NVIDIA 2024; Microsoft 2024)</w:t>
      </w:r>
      <w:r>
        <w:t xml:space="preserve">.</w:t>
      </w:r>
      <w:r>
        <w:t xml:space="preserve"> </w:t>
      </w:r>
      <w:r>
        <w:t xml:space="preserve">Cryptographic audit trails prove provenance</w:t>
      </w:r>
      <w:r>
        <w:t xml:space="preserve"> </w:t>
      </w:r>
      <w:r>
        <w:t xml:space="preserve">(Crosby and Wallach 2009; Coalition for Content Provenance and Authenticity 2025)</w:t>
      </w:r>
      <w:r>
        <w:t xml:space="preserve">.</w:t>
      </w:r>
      <w:r>
        <w:t xml:space="preserve"> </w:t>
      </w:r>
      <w:r>
        <w:t xml:space="preserve">Formal verification provides mathematical proofs for small networks</w:t>
      </w:r>
      <w:r>
        <w:t xml:space="preserve"> </w:t>
      </w:r>
      <w:r>
        <w:t xml:space="preserve">(Katz et al. 2017)</w:t>
      </w:r>
      <w:r>
        <w:t xml:space="preserve">.</w:t>
      </w:r>
    </w:p>
    <w:p>
      <w:pPr>
        <w:pStyle w:val="BodyText"/>
      </w:pPr>
      <w:r>
        <w:t xml:space="preserve">What is missing is a unified framework that treats these techniques as complementary layers in a single architecture—showing how they compose, where they overlap, and where the gaps between them create exploitable vulnerabilities.</w:t>
      </w:r>
    </w:p>
    <w:p>
      <w:pPr>
        <w:pStyle w:val="BodyText"/>
      </w:pPr>
      <w:r>
        <w:t xml:space="preserve">This paper presents</w:t>
      </w:r>
      <w:r>
        <w:t xml:space="preserve"> </w:t>
      </w:r>
      <w:r>
        <w:rPr>
          <w:iCs/>
          <w:i/>
        </w:rPr>
        <w:t xml:space="preserve">Verified Autonomy</w:t>
      </w:r>
      <w:r>
        <w:t xml:space="preserve">, a nine-layer defence-in-depth architecture for engineering trust in AI systems.</w:t>
      </w:r>
      <w:r>
        <w:t xml:space="preserve"> </w:t>
      </w:r>
      <w:r>
        <w:t xml:space="preserve">The contributions are:</w:t>
      </w:r>
    </w:p>
    <w:p>
      <w:pPr>
        <w:numPr>
          <w:ilvl w:val="0"/>
          <w:numId w:val="1001"/>
        </w:numPr>
      </w:pPr>
      <w:r>
        <w:t xml:space="preserve">A structured framework organising nine trust engineering techniques into three tiers: uncertainty reporting (Layers 1–3), architectural controls (Layers 4–6), and verification and proof (Layers 7–9).</w:t>
      </w:r>
    </w:p>
    <w:p>
      <w:pPr>
        <w:numPr>
          <w:ilvl w:val="0"/>
          <w:numId w:val="1001"/>
        </w:numPr>
      </w:pPr>
      <w:r>
        <w:t xml:space="preserve">Open-source reference implementations for all nine layers (475 tests, 98–100% coverage), each runnable in isolation with a single command.</w:t>
      </w:r>
    </w:p>
    <w:p>
      <w:pPr>
        <w:numPr>
          <w:ilvl w:val="0"/>
          <w:numId w:val="1001"/>
        </w:numPr>
      </w:pPr>
      <w:r>
        <w:t xml:space="preserve">An analysis of the Integrity Clash vulnerability</w:t>
      </w:r>
      <w:r>
        <w:t xml:space="preserve"> </w:t>
      </w:r>
      <w:r>
        <w:t xml:space="preserve">(Nemecek et al. 2026)</w:t>
      </w:r>
      <w:r>
        <w:t xml:space="preserve"> </w:t>
      </w:r>
      <w:r>
        <w:t xml:space="preserve">as the central illustration of why single-layer trust architectures fail.</w:t>
      </w:r>
    </w:p>
    <w:p>
      <w:pPr>
        <w:numPr>
          <w:ilvl w:val="0"/>
          <w:numId w:val="1001"/>
        </w:numPr>
      </w:pPr>
      <w:r>
        <w:t xml:space="preserve">An evidence-ranked comparison table and decision framework for practitioners selecting which layers to prioritise for a specific deployment context.</w:t>
      </w:r>
    </w:p>
    <w:p>
      <w:pPr>
        <w:numPr>
          <w:ilvl w:val="0"/>
          <w:numId w:val="1001"/>
        </w:numPr>
      </w:pPr>
      <w:r>
        <w:t xml:space="preserve">A compound reliability analysis showing why defence in depth becomes critical in agentic multi-step workflows.</w:t>
      </w:r>
    </w:p>
    <w:p>
      <w:pPr>
        <w:pStyle w:val="FirstParagraph"/>
      </w:pPr>
      <w:r>
        <w:t xml:space="preserve">The central argument is that trust is not a feature that can be added to a model.</w:t>
      </w:r>
      <w:r>
        <w:t xml:space="preserve"> </w:t>
      </w:r>
      <w:r>
        <w:t xml:space="preserve">It is an emergent property of a defence-in-depth architecture where each layer compensates for the failure modes of the others.</w:t>
      </w:r>
    </w:p>
    <w:p>
      <w:pPr>
        <w:pStyle w:val="BodyText"/>
      </w:pPr>
      <w:r>
        <w:t xml:space="preserve">The remainder of this paper is organised as follows.</w:t>
      </w:r>
      <w:r>
        <w:t xml:space="preserve"> </w:t>
      </w:r>
      <w:r>
        <w:t xml:space="preserve">positions the work against existing frameworks.</w:t>
      </w:r>
      <w:r>
        <w:t xml:space="preserve"> </w:t>
      </w:r>
      <w:r>
        <w:t xml:space="preserve">presents the nine-layer architecture.</w:t>
      </w:r>
      <w:r>
        <w:t xml:space="preserve"> </w:t>
      </w:r>
      <w:r>
        <w:t xml:space="preserve">describes each layer with its technique, production evidence, and limitations.</w:t>
      </w:r>
      <w:r>
        <w:t xml:space="preserve"> </w:t>
      </w:r>
      <w:r>
        <w:t xml:space="preserve">analyses the Integrity Clash as the meta-lesson for layered trust.</w:t>
      </w:r>
      <w:r>
        <w:t xml:space="preserve"> </w:t>
      </w:r>
      <w:r>
        <w:t xml:space="preserve">presents the compound reliability argument for agentic systems.</w:t>
      </w:r>
      <w:r>
        <w:t xml:space="preserve"> </w:t>
      </w:r>
      <w:r>
        <w:t xml:space="preserve">discusses the evidence table and decision framework.</w:t>
      </w:r>
      <w:r>
        <w:t xml:space="preserve"> </w:t>
      </w:r>
      <w:r>
        <w:t xml:space="preserve">describes the implementation methodology and code quality standards.</w:t>
      </w:r>
      <w:r>
        <w:t xml:space="preserve"> </w:t>
      </w:r>
      <w:r>
        <w:t xml:space="preserve">acknowledges threats to validity.</w:t>
      </w:r>
      <w:r>
        <w:t xml:space="preserve"> </w:t>
      </w:r>
      <w:r>
        <w:t xml:space="preserve">concludes.</w:t>
      </w:r>
    </w:p>
    <w:bookmarkEnd w:id="22"/>
    <w:bookmarkStart w:id="27" w:name="sec:related"/>
    <w:p>
      <w:pPr>
        <w:pStyle w:val="Heading1"/>
      </w:pPr>
      <w:r>
        <w:t xml:space="preserve">Related Work</w:t>
      </w:r>
    </w:p>
    <w:p>
      <w:pPr>
        <w:pStyle w:val="FirstParagraph"/>
      </w:pPr>
      <w:r>
        <w:t xml:space="preserve">The related work falls into four categories: institutional frameworks that define governance structures, industry safety research focused on the model itself, the individual techniques that each layer draws on, and recent work recognising the integration gap that this framework addresses.</w:t>
      </w:r>
    </w:p>
    <w:bookmarkStart w:id="23" w:name="institutional-frameworks."/>
    <w:p>
      <w:pPr>
        <w:pStyle w:val="Heading4"/>
      </w:pPr>
      <w:r>
        <w:t xml:space="preserve">Institutional frameworks.</w:t>
      </w:r>
    </w:p>
    <w:p>
      <w:pPr>
        <w:pStyle w:val="FirstParagraph"/>
      </w:pPr>
      <w:r>
        <w:t xml:space="preserve">The NIST AI Risk Management Framework (AI 100-1)</w:t>
      </w:r>
      <w:r>
        <w:t xml:space="preserve"> </w:t>
      </w:r>
      <w:r>
        <w:t xml:space="preserve">(National Institute of Standards and Technology 2023)</w:t>
      </w:r>
      <w:r>
        <w:t xml:space="preserve"> </w:t>
      </w:r>
      <w:r>
        <w:t xml:space="preserve">organises risk management around four functions (Govern, Map, Measure, Manage) but does not prescribe specific trust engineering techniques.</w:t>
      </w:r>
      <w:r>
        <w:t xml:space="preserve"> </w:t>
      </w:r>
      <w:r>
        <w:t xml:space="preserve">ISO/IEC 42001:2023</w:t>
      </w:r>
      <w:r>
        <w:t xml:space="preserve"> </w:t>
      </w:r>
      <w:r>
        <w:t xml:space="preserve">(International Organization for Standardization 2023)</w:t>
      </w:r>
      <w:r>
        <w:t xml:space="preserve"> </w:t>
      </w:r>
      <w:r>
        <w:t xml:space="preserve">provides a certifiable management system standard with Annex A.6.2.8 requiring tamper-evident audit trails, but addresses organisational controls rather than technical architecture.</w:t>
      </w:r>
      <w:r>
        <w:t xml:space="preserve"> </w:t>
      </w:r>
      <w:r>
        <w:t xml:space="preserve">The EU AI Act</w:t>
      </w:r>
      <w:r>
        <w:t xml:space="preserve"> </w:t>
      </w:r>
      <w:r>
        <w:t xml:space="preserve">(European Parliament and Council 2024)</w:t>
      </w:r>
      <w:r>
        <w:t xml:space="preserve"> </w:t>
      </w:r>
      <w:r>
        <w:t xml:space="preserve">establishes transparency obligations (Article 50) and high-risk logging requirements (Articles 12, 16) but is deliberately technology-neutral.</w:t>
      </w:r>
    </w:p>
    <w:bookmarkEnd w:id="23"/>
    <w:bookmarkStart w:id="24" w:name="industry-safety-research."/>
    <w:p>
      <w:pPr>
        <w:pStyle w:val="Heading4"/>
      </w:pPr>
      <w:r>
        <w:t xml:space="preserve">Industry safety research.</w:t>
      </w:r>
    </w:p>
    <w:p>
      <w:pPr>
        <w:pStyle w:val="FirstParagraph"/>
      </w:pPr>
      <w:r>
        <w:t xml:space="preserve">Anthropic’s Constitutional AI</w:t>
      </w:r>
      <w:r>
        <w:t xml:space="preserve"> </w:t>
      </w:r>
      <w:r>
        <w:t xml:space="preserve">(Bai et al. 2022)</w:t>
      </w:r>
      <w:r>
        <w:t xml:space="preserve"> </w:t>
      </w:r>
      <w:r>
        <w:t xml:space="preserve">addresses value alignment through training-time constraints.</w:t>
      </w:r>
      <w:r>
        <w:t xml:space="preserve"> </w:t>
      </w:r>
      <w:r>
        <w:t xml:space="preserve">OpenAI’s approach to safety includes red teaming and reinforcement learning from human feedback</w:t>
      </w:r>
      <w:r>
        <w:t xml:space="preserve"> </w:t>
      </w:r>
      <w:r>
        <w:t xml:space="preserve">(Ouyang et al. 2022)</w:t>
      </w:r>
      <w:r>
        <w:t xml:space="preserve">.</w:t>
      </w:r>
      <w:r>
        <w:t xml:space="preserve"> </w:t>
      </w:r>
      <w:r>
        <w:t xml:space="preserve">Google DeepMind’s scalable oversight research</w:t>
      </w:r>
      <w:r>
        <w:t xml:space="preserve"> </w:t>
      </w:r>
      <w:r>
        <w:t xml:space="preserve">(Bowman et al. 2022)</w:t>
      </w:r>
      <w:r>
        <w:t xml:space="preserve"> </w:t>
      </w:r>
      <w:r>
        <w:t xml:space="preserve">explores how to supervise systems more capable than their overseers.</w:t>
      </w:r>
      <w:r>
        <w:t xml:space="preserve"> </w:t>
      </w:r>
      <w:r>
        <w:t xml:space="preserve">These focus primarily on the model itself; the Verified Autonomy framework addresses the architecture</w:t>
      </w:r>
      <w:r>
        <w:t xml:space="preserve"> </w:t>
      </w:r>
      <w:r>
        <w:rPr>
          <w:iCs/>
          <w:i/>
        </w:rPr>
        <w:t xml:space="preserve">around</w:t>
      </w:r>
      <w:r>
        <w:t xml:space="preserve"> </w:t>
      </w:r>
      <w:r>
        <w:t xml:space="preserve">the model.</w:t>
      </w:r>
    </w:p>
    <w:bookmarkEnd w:id="24"/>
    <w:bookmarkStart w:id="25" w:name="individual-techniques."/>
    <w:p>
      <w:pPr>
        <w:pStyle w:val="Heading4"/>
      </w:pPr>
      <w:r>
        <w:t xml:space="preserve">Individual techniques.</w:t>
      </w:r>
    </w:p>
    <w:p>
      <w:pPr>
        <w:pStyle w:val="FirstParagraph"/>
      </w:pPr>
      <w:r>
        <w:t xml:space="preserve">Each of the nine layers draws on established research.</w:t>
      </w:r>
      <w:r>
        <w:t xml:space="preserve"> </w:t>
      </w:r>
      <w:r>
        <w:t xml:space="preserve">Conformal prediction was formalised by</w:t>
      </w:r>
      <w:r>
        <w:t xml:space="preserve"> </w:t>
      </w:r>
      <w:r>
        <w:t xml:space="preserve">Vovk, Gammerman, and Shafer (2005)</w:t>
      </w:r>
      <w:r>
        <w:t xml:space="preserve"> </w:t>
      </w:r>
      <w:r>
        <w:t xml:space="preserve">and made accessible by</w:t>
      </w:r>
      <w:r>
        <w:t xml:space="preserve"> </w:t>
      </w:r>
      <w:r>
        <w:t xml:space="preserve">Angelopoulos and Bates (2023)</w:t>
      </w:r>
      <w:r>
        <w:t xml:space="preserve">.</w:t>
      </w:r>
      <w:r>
        <w:t xml:space="preserve"> </w:t>
      </w:r>
      <w:r>
        <w:t xml:space="preserve">Temperature scaling was proposed by</w:t>
      </w:r>
      <w:r>
        <w:t xml:space="preserve"> </w:t>
      </w:r>
      <w:r>
        <w:t xml:space="preserve">Guo et al. (2017)</w:t>
      </w:r>
      <w:r>
        <w:t xml:space="preserve">.</w:t>
      </w:r>
      <w:r>
        <w:t xml:space="preserve"> </w:t>
      </w:r>
      <w:r>
        <w:t xml:space="preserve">Adversarial robustness has been studied extensively</w:t>
      </w:r>
      <w:r>
        <w:t xml:space="preserve"> </w:t>
      </w:r>
      <w:r>
        <w:t xml:space="preserve">(Goodfellow, Shlens, and Szegedy 2015; Carlini and Wagner 2017)</w:t>
      </w:r>
      <w:r>
        <w:t xml:space="preserve">.</w:t>
      </w:r>
      <w:r>
        <w:t xml:space="preserve"> </w:t>
      </w:r>
      <w:r>
        <w:t xml:space="preserve">Formal verification of neural networks was pioneered by</w:t>
      </w:r>
      <w:r>
        <w:t xml:space="preserve"> </w:t>
      </w:r>
      <w:r>
        <w:t xml:space="preserve">Katz et al. (2017)</w:t>
      </w:r>
      <w:r>
        <w:t xml:space="preserve"> </w:t>
      </w:r>
      <w:r>
        <w:t xml:space="preserve">and extended by</w:t>
      </w:r>
      <w:r>
        <w:t xml:space="preserve"> </w:t>
      </w:r>
      <w:r>
        <w:t xml:space="preserve">Wang et al. (2021)</w:t>
      </w:r>
      <w:r>
        <w:t xml:space="preserve">.</w:t>
      </w:r>
      <w:r>
        <w:t xml:space="preserve"> </w:t>
      </w:r>
      <w:r>
        <w:t xml:space="preserve">Content provenance is standardised by C2PA</w:t>
      </w:r>
      <w:r>
        <w:t xml:space="preserve"> </w:t>
      </w:r>
      <w:r>
        <w:t xml:space="preserve">(Coalition for Content Provenance and Authenticity 2025)</w:t>
      </w:r>
      <w:r>
        <w:t xml:space="preserve">.</w:t>
      </w:r>
      <w:r>
        <w:t xml:space="preserve"> </w:t>
      </w:r>
      <w:r>
        <w:t xml:space="preserve">The contribution of this work is not any individual technique but the integration framework and the defence-in-depth argument.</w:t>
      </w:r>
    </w:p>
    <w:bookmarkEnd w:id="25"/>
    <w:bookmarkStart w:id="26" w:name="the-integration-gap."/>
    <w:p>
      <w:pPr>
        <w:pStyle w:val="Heading4"/>
      </w:pPr>
      <w:r>
        <w:t xml:space="preserve">The integration gap.</w:t>
      </w:r>
    </w:p>
    <w:p>
      <w:pPr>
        <w:pStyle w:val="FirstParagraph"/>
      </w:pPr>
      <w:r>
        <w:t xml:space="preserve">Horvitz (2026)</w:t>
      </w:r>
      <w:r>
        <w:t xml:space="preserve"> </w:t>
      </w:r>
      <w:r>
        <w:t xml:space="preserve">evaluated 60 combinations of provenance, watermarking, and fingerprinting techniques for media integrity, introducing the concept of</w:t>
      </w:r>
      <w:r>
        <w:t xml:space="preserve"> </w:t>
      </w:r>
      <w:r>
        <w:t xml:space="preserve">“</w:t>
      </w:r>
      <w:r>
        <w:t xml:space="preserve">sociotechnical provenance attacks.</w:t>
      </w:r>
      <w:r>
        <w:t xml:space="preserve">”</w:t>
      </w:r>
      <w:r>
        <w:t xml:space="preserve"> </w:t>
      </w:r>
      <w:r>
        <w:t xml:space="preserve">Nemecek et al. (2026)</w:t>
      </w:r>
      <w:r>
        <w:t xml:space="preserve"> </w:t>
      </w:r>
      <w:r>
        <w:t xml:space="preserve">formalised the Integrity Clash—the first named vulnerability arising from the gap between independent verification layers.</w:t>
      </w:r>
      <w:r>
        <w:t xml:space="preserve"> </w:t>
      </w:r>
      <w:r>
        <w:t xml:space="preserve">These works demonstrate that the field is beginning to recognise the integration problem.</w:t>
      </w:r>
      <w:r>
        <w:t xml:space="preserve"> </w:t>
      </w:r>
      <w:r>
        <w:t xml:space="preserve">Verified Autonomy provides the first comprehensive framework addressing it across nine complementary layers with accompanying implementations.</w:t>
      </w:r>
    </w:p>
    <w:bookmarkEnd w:id="26"/>
    <w:bookmarkEnd w:id="27"/>
    <w:bookmarkStart w:id="29" w:name="sec:architecture"/>
    <w:p>
      <w:pPr>
        <w:pStyle w:val="Heading1"/>
      </w:pPr>
      <w:r>
        <w:t xml:space="preserve">The Nine-Layer Architecture</w:t>
      </w:r>
    </w:p>
    <w:p>
      <w:pPr>
        <w:pStyle w:val="FirstParagraph"/>
      </w:pPr>
      <w:r>
        <w:t xml:space="preserve">The nine layers are organised into three tiers, reflecting the level of the stack they address.</w:t>
      </w:r>
    </w:p>
    <w:bookmarkStart w:id="28" w:name="tab:layers"/>
    <w:p>
      <w:pPr>
        <w:pStyle w:val="TableCaption"/>
      </w:pPr>
      <w:r>
        <w:t xml:space="preserve">The nine layers of the Verified Autonomy framework.</w:t>
      </w:r>
    </w:p>
    <w:tbl>
      <w:tblPr>
        <w:tblStyle w:val="Table"/>
        <w:tblW w:type="auto" w:w="0"/>
        <w:tblLook w:firstRow="1" w:lastRow="0" w:firstColumn="0" w:lastColumn="0" w:noHBand="0" w:noVBand="0" w:val="0020"/>
        <w:jc w:val="start"/>
        <w:tblCaption w:val="The nine layers of the Verified Autonomy framework."/>
      </w:tblPr>
      <w:tblGrid>
        <w:gridCol w:w="1980"/>
        <w:gridCol w:w="1980"/>
        <w:gridCol w:w="1980"/>
        <w:gridCol w:w="1980"/>
      </w:tblGrid>
      <w:tr>
        <w:trPr>
          <w:tblHeader w:val="true"/>
        </w:trPr>
        <w:tc>
          <w:tcPr/>
          <w:p>
            <w:pPr>
              <w:pStyle w:val="Compact"/>
              <w:jc w:val="center"/>
            </w:pPr>
            <w:r>
              <w:rPr>
                <w:bCs/>
                <w:b/>
              </w:rPr>
              <w:t xml:space="preserve">Layer</w:t>
            </w:r>
          </w:p>
        </w:tc>
        <w:tc>
          <w:tcPr/>
          <w:p>
            <w:pPr>
              <w:pStyle w:val="Compact"/>
              <w:jc w:val="left"/>
            </w:pPr>
            <w:r>
              <w:rPr>
                <w:bCs/>
                <w:b/>
              </w:rPr>
              <w:t xml:space="preserve">Technique</w:t>
            </w:r>
          </w:p>
        </w:tc>
        <w:tc>
          <w:tcPr/>
          <w:p>
            <w:pPr>
              <w:pStyle w:val="Compact"/>
              <w:jc w:val="left"/>
            </w:pPr>
            <w:r>
              <w:rPr>
                <w:bCs/>
                <w:b/>
              </w:rPr>
              <w:t xml:space="preserve">Tier</w:t>
            </w:r>
          </w:p>
        </w:tc>
        <w:tc>
          <w:tcPr/>
          <w:p>
            <w:pPr>
              <w:pStyle w:val="Compact"/>
              <w:jc w:val="left"/>
            </w:pPr>
            <w:r>
              <w:rPr>
                <w:bCs/>
                <w:b/>
              </w:rPr>
              <w:t xml:space="preserve">Subtitle</w:t>
            </w:r>
          </w:p>
        </w:tc>
      </w:tr>
      <w:tr>
        <w:tc>
          <w:tcPr/>
          <w:p>
            <w:pPr>
              <w:pStyle w:val="Compact"/>
              <w:jc w:val="center"/>
            </w:pPr>
            <w:r>
              <w:t xml:space="preserve">01</w:t>
            </w:r>
          </w:p>
        </w:tc>
        <w:tc>
          <w:tcPr/>
          <w:p>
            <w:pPr>
              <w:pStyle w:val="Compact"/>
              <w:jc w:val="left"/>
            </w:pPr>
            <w:r>
              <w:t xml:space="preserve">Inverse Confidence Weighting</w:t>
            </w:r>
          </w:p>
        </w:tc>
        <w:tc>
          <w:tcPr/>
          <w:p>
            <w:pPr>
              <w:pStyle w:val="Compact"/>
              <w:jc w:val="left"/>
            </w:pPr>
            <w:r>
              <w:t xml:space="preserve">Uncertainty</w:t>
            </w:r>
          </w:p>
        </w:tc>
        <w:tc>
          <w:tcPr/>
          <w:p>
            <w:pPr>
              <w:pStyle w:val="Compact"/>
              <w:jc w:val="left"/>
            </w:pPr>
            <w:r>
              <w:t xml:space="preserve">Surface your weakest signal</w:t>
            </w:r>
          </w:p>
        </w:tc>
      </w:tr>
      <w:tr>
        <w:tc>
          <w:tcPr/>
          <w:p>
            <w:pPr>
              <w:pStyle w:val="Compact"/>
              <w:jc w:val="center"/>
            </w:pPr>
            <w:r>
              <w:t xml:space="preserve">02</w:t>
            </w:r>
          </w:p>
        </w:tc>
        <w:tc>
          <w:tcPr/>
          <w:p>
            <w:pPr>
              <w:pStyle w:val="Compact"/>
              <w:jc w:val="left"/>
            </w:pPr>
            <w:r>
              <w:t xml:space="preserve">Outlier Detection as Hard Escalation</w:t>
            </w:r>
          </w:p>
        </w:tc>
        <w:tc>
          <w:tcPr/>
          <w:p>
            <w:pPr>
              <w:pStyle w:val="Compact"/>
              <w:jc w:val="left"/>
            </w:pPr>
            <w:r>
              <w:t xml:space="preserve">Uncertainty</w:t>
            </w:r>
          </w:p>
        </w:tc>
        <w:tc>
          <w:tcPr/>
          <w:p>
            <w:pPr>
              <w:pStyle w:val="Compact"/>
              <w:jc w:val="left"/>
            </w:pPr>
            <w:r>
              <w:t xml:space="preserve">Disagreement is a signal</w:t>
            </w:r>
          </w:p>
        </w:tc>
      </w:tr>
      <w:tr>
        <w:tc>
          <w:tcPr/>
          <w:p>
            <w:pPr>
              <w:pStyle w:val="Compact"/>
              <w:jc w:val="center"/>
            </w:pPr>
            <w:r>
              <w:t xml:space="preserve">03</w:t>
            </w:r>
          </w:p>
        </w:tc>
        <w:tc>
          <w:tcPr/>
          <w:p>
            <w:pPr>
              <w:pStyle w:val="Compact"/>
              <w:jc w:val="left"/>
            </w:pPr>
            <w:r>
              <w:t xml:space="preserve">Making Failures Visible</w:t>
            </w:r>
          </w:p>
        </w:tc>
        <w:tc>
          <w:tcPr/>
          <w:p>
            <w:pPr>
              <w:pStyle w:val="Compact"/>
              <w:jc w:val="left"/>
            </w:pPr>
            <w:r>
              <w:t xml:space="preserve">Uncertainty</w:t>
            </w:r>
          </w:p>
        </w:tc>
        <w:tc>
          <w:tcPr/>
          <w:p>
            <w:pPr>
              <w:pStyle w:val="Compact"/>
              <w:jc w:val="left"/>
            </w:pPr>
            <w:r>
              <w:t xml:space="preserve">The potential hallucinations list</w:t>
            </w:r>
          </w:p>
        </w:tc>
      </w:tr>
      <w:tr>
        <w:tc>
          <w:tcPr/>
          <w:p>
            <w:pPr>
              <w:pStyle w:val="Compact"/>
              <w:jc w:val="center"/>
            </w:pPr>
            <w:r>
              <w:t xml:space="preserve">04</w:t>
            </w:r>
          </w:p>
        </w:tc>
        <w:tc>
          <w:tcPr/>
          <w:p>
            <w:pPr>
              <w:pStyle w:val="Compact"/>
              <w:jc w:val="left"/>
            </w:pPr>
            <w:r>
              <w:t xml:space="preserve">Calibration &amp; Conformal Prediction</w:t>
            </w:r>
          </w:p>
        </w:tc>
        <w:tc>
          <w:tcPr/>
          <w:p>
            <w:pPr>
              <w:pStyle w:val="Compact"/>
              <w:jc w:val="left"/>
            </w:pPr>
            <w:r>
              <w:t xml:space="preserve">Architecture</w:t>
            </w:r>
          </w:p>
        </w:tc>
        <w:tc>
          <w:tcPr/>
          <w:p>
            <w:pPr>
              <w:pStyle w:val="Compact"/>
              <w:jc w:val="left"/>
            </w:pPr>
            <w:r>
              <w:t xml:space="preserve">The guaranteed confidence score</w:t>
            </w:r>
          </w:p>
        </w:tc>
      </w:tr>
      <w:tr>
        <w:tc>
          <w:tcPr/>
          <w:p>
            <w:pPr>
              <w:pStyle w:val="Compact"/>
              <w:jc w:val="center"/>
            </w:pPr>
            <w:r>
              <w:t xml:space="preserve">05</w:t>
            </w:r>
          </w:p>
        </w:tc>
        <w:tc>
          <w:tcPr/>
          <w:p>
            <w:pPr>
              <w:pStyle w:val="Compact"/>
              <w:jc w:val="left"/>
            </w:pPr>
            <w:r>
              <w:t xml:space="preserve">Deterministic Guardrails</w:t>
            </w:r>
          </w:p>
        </w:tc>
        <w:tc>
          <w:tcPr/>
          <w:p>
            <w:pPr>
              <w:pStyle w:val="Compact"/>
              <w:jc w:val="left"/>
            </w:pPr>
            <w:r>
              <w:t xml:space="preserve">Architecture</w:t>
            </w:r>
          </w:p>
        </w:tc>
        <w:tc>
          <w:tcPr/>
          <w:p>
            <w:pPr>
              <w:pStyle w:val="Compact"/>
              <w:jc w:val="left"/>
            </w:pPr>
            <w:r>
              <w:t xml:space="preserve">Model proposes, rule decides</w:t>
            </w:r>
          </w:p>
        </w:tc>
      </w:tr>
      <w:tr>
        <w:tc>
          <w:tcPr/>
          <w:p>
            <w:pPr>
              <w:pStyle w:val="Compact"/>
              <w:jc w:val="center"/>
            </w:pPr>
            <w:r>
              <w:t xml:space="preserve">06</w:t>
            </w:r>
          </w:p>
        </w:tc>
        <w:tc>
          <w:tcPr/>
          <w:p>
            <w:pPr>
              <w:pStyle w:val="Compact"/>
              <w:jc w:val="left"/>
            </w:pPr>
            <w:r>
              <w:t xml:space="preserve">RAG as Explainability</w:t>
            </w:r>
          </w:p>
        </w:tc>
        <w:tc>
          <w:tcPr/>
          <w:p>
            <w:pPr>
              <w:pStyle w:val="Compact"/>
              <w:jc w:val="left"/>
            </w:pPr>
            <w:r>
              <w:t xml:space="preserve">Architecture</w:t>
            </w:r>
          </w:p>
        </w:tc>
        <w:tc>
          <w:tcPr/>
          <w:p>
            <w:pPr>
              <w:pStyle w:val="Compact"/>
              <w:jc w:val="left"/>
            </w:pPr>
            <w:r>
              <w:t xml:space="preserve">Trust the sources, not the model</w:t>
            </w:r>
          </w:p>
        </w:tc>
      </w:tr>
      <w:tr>
        <w:tc>
          <w:tcPr/>
          <w:p>
            <w:pPr>
              <w:pStyle w:val="Compact"/>
              <w:jc w:val="center"/>
            </w:pPr>
            <w:r>
              <w:t xml:space="preserve">07</w:t>
            </w:r>
          </w:p>
        </w:tc>
        <w:tc>
          <w:tcPr/>
          <w:p>
            <w:pPr>
              <w:pStyle w:val="Compact"/>
              <w:jc w:val="left"/>
            </w:pPr>
            <w:r>
              <w:t xml:space="preserve">Adversarial Testing</w:t>
            </w:r>
          </w:p>
        </w:tc>
        <w:tc>
          <w:tcPr/>
          <w:p>
            <w:pPr>
              <w:pStyle w:val="Compact"/>
              <w:jc w:val="left"/>
            </w:pPr>
            <w:r>
              <w:t xml:space="preserve">Verification</w:t>
            </w:r>
          </w:p>
        </w:tc>
        <w:tc>
          <w:tcPr/>
          <w:p>
            <w:pPr>
              <w:pStyle w:val="Compact"/>
              <w:jc w:val="left"/>
            </w:pPr>
            <w:r>
              <w:t xml:space="preserve">Find where it breaks</w:t>
            </w:r>
          </w:p>
        </w:tc>
      </w:tr>
      <w:tr>
        <w:tc>
          <w:tcPr/>
          <w:p>
            <w:pPr>
              <w:pStyle w:val="Compact"/>
              <w:jc w:val="center"/>
            </w:pPr>
            <w:r>
              <w:t xml:space="preserve">08</w:t>
            </w:r>
          </w:p>
        </w:tc>
        <w:tc>
          <w:tcPr/>
          <w:p>
            <w:pPr>
              <w:pStyle w:val="Compact"/>
              <w:jc w:val="left"/>
            </w:pPr>
            <w:r>
              <w:t xml:space="preserve">Cryptographic Audit Trails</w:t>
            </w:r>
          </w:p>
        </w:tc>
        <w:tc>
          <w:tcPr/>
          <w:p>
            <w:pPr>
              <w:pStyle w:val="Compact"/>
              <w:jc w:val="left"/>
            </w:pPr>
            <w:r>
              <w:t xml:space="preserve">Verification</w:t>
            </w:r>
          </w:p>
        </w:tc>
        <w:tc>
          <w:tcPr/>
          <w:p>
            <w:pPr>
              <w:pStyle w:val="Compact"/>
              <w:jc w:val="left"/>
            </w:pPr>
            <w:r>
              <w:t xml:space="preserve">Prove what happened</w:t>
            </w:r>
          </w:p>
        </w:tc>
      </w:tr>
      <w:tr>
        <w:tc>
          <w:tcPr/>
          <w:p>
            <w:pPr>
              <w:pStyle w:val="Compact"/>
              <w:jc w:val="center"/>
            </w:pPr>
            <w:r>
              <w:t xml:space="preserve">09</w:t>
            </w:r>
          </w:p>
        </w:tc>
        <w:tc>
          <w:tcPr/>
          <w:p>
            <w:pPr>
              <w:pStyle w:val="Compact"/>
              <w:jc w:val="left"/>
            </w:pPr>
            <w:r>
              <w:t xml:space="preserve">Formal Verification</w:t>
            </w:r>
          </w:p>
        </w:tc>
        <w:tc>
          <w:tcPr/>
          <w:p>
            <w:pPr>
              <w:pStyle w:val="Compact"/>
              <w:jc w:val="left"/>
            </w:pPr>
            <w:r>
              <w:t xml:space="preserve">Verification</w:t>
            </w:r>
          </w:p>
        </w:tc>
        <w:tc>
          <w:tcPr/>
          <w:p>
            <w:pPr>
              <w:pStyle w:val="Compact"/>
              <w:jc w:val="left"/>
            </w:pPr>
            <w:r>
              <w:t xml:space="preserve">The gold standard (constrained)</w:t>
            </w:r>
          </w:p>
        </w:tc>
      </w:tr>
    </w:tbl>
    <w:bookmarkEnd w:id="28"/>
    <w:p>
      <w:pPr>
        <w:pStyle w:val="BodyText"/>
      </w:pPr>
      <w:r>
        <w:t xml:space="preserve">Layers 1–3 address how a system reports its own uncertainty.</w:t>
      </w:r>
      <w:r>
        <w:t xml:space="preserve"> </w:t>
      </w:r>
      <w:r>
        <w:t xml:space="preserve">Layers 4–6 address the architecture around the model.</w:t>
      </w:r>
      <w:r>
        <w:t xml:space="preserve"> </w:t>
      </w:r>
      <w:r>
        <w:t xml:space="preserve">Layers 7–9 address verification, provenance, and proof.</w:t>
      </w:r>
    </w:p>
    <w:p>
      <w:pPr>
        <w:pStyle w:val="BodyText"/>
      </w:pPr>
      <w:r>
        <w:t xml:space="preserve">Each layer is independent—a practitioner can implement any single layer without the others—but the layers also compose.</w:t>
      </w:r>
      <w:r>
        <w:t xml:space="preserve"> </w:t>
      </w:r>
      <w:r>
        <w:t xml:space="preserve">Confidence scores from Layer 1 feed escalation routing in Layer 2.</w:t>
      </w:r>
      <w:r>
        <w:t xml:space="preserve"> </w:t>
      </w:r>
      <w:r>
        <w:t xml:space="preserve">Calibrated scores from Layer 4 make Layers 1–3 more reliable.</w:t>
      </w:r>
      <w:r>
        <w:t xml:space="preserve"> </w:t>
      </w:r>
      <w:r>
        <w:t xml:space="preserve">The audit trail from Layer 8 records the decisions that Layers 1–6 produce.</w:t>
      </w:r>
      <w:r>
        <w:t xml:space="preserve"> </w:t>
      </w:r>
      <w:r>
        <w:t xml:space="preserve">The adversarial tests from Layer 7 discover gaps that the other layers must cover.</w:t>
      </w:r>
    </w:p>
    <w:p>
      <w:pPr>
        <w:pStyle w:val="BodyText"/>
      </w:pPr>
      <w:r>
        <w:t xml:space="preserve">The central design principle is that each layer’s failure mode falls within the coverage of another layer.</w:t>
      </w:r>
      <w:r>
        <w:t xml:space="preserve"> </w:t>
      </w:r>
      <w:r>
        <w:t xml:space="preserve">This is the defence-in-depth property: the architecture degrades gracefully rather than catastrophically when any single layer fails.</w:t>
      </w:r>
    </w:p>
    <w:bookmarkEnd w:id="29"/>
    <w:bookmarkStart w:id="58" w:name="sec:layers"/>
    <w:p>
      <w:pPr>
        <w:pStyle w:val="Heading1"/>
      </w:pPr>
      <w:r>
        <w:t xml:space="preserve">Layer Descriptions</w:t>
      </w:r>
    </w:p>
    <w:p>
      <w:pPr>
        <w:pStyle w:val="FirstParagraph"/>
      </w:pPr>
      <w:r>
        <w:t xml:space="preserve">Each subsection below presents the essential technique, its key mechanism, production evidence, primary limitation, and cross-references to compensating layers.</w:t>
      </w:r>
      <w:r>
        <w:t xml:space="preserve"> </w:t>
      </w:r>
      <w:r>
        <w:t xml:space="preserve">Full descriptions with working code examples are in the companion field guide.</w:t>
      </w:r>
      <w:r>
        <w:rPr>
          <w:rStyle w:val="FootnoteReference"/>
        </w:rPr>
        <w:footnoteReference w:id="30"/>
      </w:r>
    </w:p>
    <w:bookmarkStart w:id="33" w:name="layer-01-inverse-confidence-weighting"/>
    <w:p>
      <w:pPr>
        <w:pStyle w:val="Heading2"/>
      </w:pPr>
      <w:r>
        <w:t xml:space="preserve">Layer 01: Inverse Confidence Weighting</w:t>
      </w:r>
    </w:p>
    <w:p>
      <w:pPr>
        <w:pStyle w:val="FirstParagraph"/>
      </w:pPr>
      <w:r>
        <w:t xml:space="preserve">When confidence scores across multiple output fields are aggregated, the standard approach is to average them.</w:t>
      </w:r>
      <w:r>
        <w:t xml:space="preserve"> </w:t>
      </w:r>
      <w:r>
        <w:t xml:space="preserve">This masks the weakest signal: a single uncertain field in nine confident ones produces an 87% average that hides the problem.</w:t>
      </w:r>
    </w:p>
    <w:p>
      <w:pPr>
        <w:pStyle w:val="BodyText"/>
      </w:pPr>
      <w:r>
        <w:t xml:space="preserve">Inverse confidence weighting assigns each field a weight of</w:t>
      </w:r>
      <w:r>
        <w:t xml:space="preserve"> </w:t>
      </w:r>
      <m:oMath>
        <m:r>
          <m:t>w</m:t>
        </m:r>
        <m:r>
          <m:rPr>
            <m:sty m:val="p"/>
          </m:rPr>
          <m:t>=</m:t>
        </m:r>
        <m:r>
          <m:t>2.0</m:t>
        </m:r>
        <m:r>
          <m:rPr>
            <m:sty m:val="p"/>
          </m:rPr>
          <m:t>−</m:t>
        </m:r>
        <m:r>
          <m:t>c</m:t>
        </m:r>
      </m:oMath>
      <w:r>
        <w:t xml:space="preserve">, where</w:t>
      </w:r>
      <w:r>
        <w:t xml:space="preserve"> </w:t>
      </w:r>
      <m:oMath>
        <m:r>
          <m:t>c</m:t>
        </m:r>
        <m:r>
          <m:rPr>
            <m:sty m:val="p"/>
          </m:rPr>
          <m:t>∈</m:t>
        </m:r>
        <m:d>
          <m:dPr>
            <m:begChr m:val="["/>
            <m:endChr m:val="]"/>
            <m:sepChr m:val=""/>
            <m:grow/>
          </m:dPr>
          <m:e>
            <m:r>
              <m:t>0</m:t>
            </m:r>
            <m:r>
              <m:rPr>
                <m:sty m:val="p"/>
              </m:rPr>
              <m:t>,</m:t>
            </m:r>
            <m:r>
              <m:t>1</m:t>
            </m:r>
          </m:e>
        </m:d>
      </m:oMath>
      <w:r>
        <w:t xml:space="preserve"> </w:t>
      </w:r>
      <w:r>
        <w:t xml:space="preserve">is the field’s confidence.</w:t>
      </w:r>
      <w:r>
        <w:t xml:space="preserve"> </w:t>
      </w:r>
      <w:r>
        <w:t xml:space="preserve">This maps confidence to weight in the range</w:t>
      </w:r>
      <w:r>
        <w:t xml:space="preserve"> </w:t>
      </w:r>
      <m:oMath>
        <m:d>
          <m:dPr>
            <m:begChr m:val="["/>
            <m:endChr m:val="]"/>
            <m:sepChr m:val=""/>
            <m:grow/>
          </m:dPr>
          <m:e>
            <m:r>
              <m:t>1</m:t>
            </m:r>
            <m:r>
              <m:rPr>
                <m:sty m:val="p"/>
              </m:rPr>
              <m:t>,</m:t>
            </m:r>
            <m:r>
              <m:t>2</m:t>
            </m:r>
          </m:e>
        </m:d>
      </m:oMath>
      <w:r>
        <w:t xml:space="preserve">: a field with zero confidence receives maximum weight, pulling the aggregate toward the uncertain signal.</w:t>
      </w:r>
      <w:r>
        <w:t xml:space="preserve"> </w:t>
      </w:r>
      <w:r>
        <w:t xml:space="preserve">The aggregate is</w:t>
      </w:r>
      <w:r>
        <w:t xml:space="preserve"> </w:t>
      </w:r>
      <m:oMath>
        <m:acc>
          <m:accPr>
            <m:chr m:val="̂"/>
          </m:accPr>
          <m:e>
            <m:r>
              <m:t>c</m:t>
            </m:r>
          </m:e>
        </m:acc>
        <m:r>
          <m:rPr>
            <m:sty m:val="p"/>
          </m:rPr>
          <m:t>=</m:t>
        </m:r>
        <m:nary>
          <m:naryPr>
            <m:chr m:val="∑"/>
            <m:limLoc m:val="undOvr"/>
            <m:subHide m:val="off"/>
            <m:supHide m:val="on"/>
          </m:naryPr>
          <m:sub>
            <m:r>
              <m:t>i</m:t>
            </m:r>
          </m:sub>
          <m:sup>
            <m:r>
              <m:t>​</m:t>
            </m:r>
          </m:sup>
          <m:e>
            <m:sSub>
              <m:e>
                <m:r>
                  <m:t>c</m:t>
                </m:r>
              </m:e>
              <m:sub>
                <m:r>
                  <m:t>i</m:t>
                </m:r>
              </m:sub>
            </m:sSub>
          </m:e>
        </m:nary>
        <m:sSub>
          <m:e>
            <m:r>
              <m:t>w</m:t>
            </m:r>
          </m:e>
          <m:sub>
            <m:r>
              <m:t>i</m:t>
            </m:r>
          </m:sub>
        </m:sSub>
        <m:r>
          <m:rPr>
            <m:sty m:val="p"/>
          </m:rPr>
          <m:t>/</m:t>
        </m:r>
        <m:nary>
          <m:naryPr>
            <m:chr m:val="∑"/>
            <m:limLoc m:val="undOvr"/>
            <m:subHide m:val="off"/>
            <m:supHide m:val="on"/>
          </m:naryPr>
          <m:sub>
            <m:r>
              <m:t>i</m:t>
            </m:r>
          </m:sub>
          <m:sup>
            <m:r>
              <m:t>​</m:t>
            </m:r>
          </m:sup>
          <m:e>
            <m:sSub>
              <m:e>
                <m:r>
                  <m:t>w</m:t>
                </m:r>
              </m:e>
              <m:sub>
                <m:r>
                  <m:t>i</m:t>
                </m:r>
              </m:sub>
            </m:sSub>
          </m:e>
        </m:nary>
      </m:oMath>
      <w:r>
        <w:t xml:space="preserve">, always bounded between the minimum and maximum input confidence values.</w:t>
      </w:r>
    </w:p>
    <w:bookmarkStart w:id="31" w:name="evidence."/>
    <w:p>
      <w:pPr>
        <w:pStyle w:val="Heading4"/>
      </w:pPr>
      <w:r>
        <w:t xml:space="preserve">Evidence.</w:t>
      </w:r>
    </w:p>
    <w:p>
      <w:pPr>
        <w:pStyle w:val="FirstParagraph"/>
      </w:pPr>
      <w:r>
        <w:t xml:space="preserve">The reference implementation (31 tests, 100% coverage) is generalised from the</w:t>
      </w:r>
      <w:r>
        <w:t xml:space="preserve"> </w:t>
      </w:r>
      <w:r>
        <w:rPr>
          <w:rStyle w:val="VerbatimChar"/>
        </w:rPr>
        <w:t xml:space="preserve">agent-task-planning</w:t>
      </w:r>
      <w:r>
        <w:t xml:space="preserve"> </w:t>
      </w:r>
      <w:r>
        <w:t xml:space="preserve">package in the PDA Platform</w:t>
      </w:r>
      <w:r>
        <w:t xml:space="preserve"> </w:t>
      </w:r>
      <w:r>
        <w:t xml:space="preserve">(Newman 2026)</w:t>
      </w:r>
      <w:r>
        <w:t xml:space="preserve">, where it is deployed in production for AI-assisted project data extraction.</w:t>
      </w:r>
    </w:p>
    <w:bookmarkEnd w:id="31"/>
    <w:bookmarkStart w:id="32" w:name="limitation."/>
    <w:p>
      <w:pPr>
        <w:pStyle w:val="Heading4"/>
      </w:pPr>
      <w:r>
        <w:t xml:space="preserve">Limitation.</w:t>
      </w:r>
    </w:p>
    <w:p>
      <w:pPr>
        <w:pStyle w:val="FirstParagraph"/>
      </w:pPr>
      <w:r>
        <w:t xml:space="preserve">The formula treats all fields symmetrically.</w:t>
      </w:r>
      <w:r>
        <w:t xml:space="preserve"> </w:t>
      </w:r>
      <w:r>
        <w:t xml:space="preserve">In domains where some fields carry more importance than others, an additional importance weighting layer is needed.</w:t>
      </w:r>
      <w:r>
        <w:t xml:space="preserve"> </w:t>
      </w:r>
      <w:r>
        <w:t xml:space="preserve">The technique also assumes that the underlying confidence scores are meaningful—if they are miscalibrated (see Layer 04), the inverse-weighted aggregate amplifies an unreliable signal.</w:t>
      </w:r>
    </w:p>
    <w:bookmarkEnd w:id="32"/>
    <w:bookmarkEnd w:id="33"/>
    <w:bookmarkStart w:id="36" w:name="X61b50ac883a350eaa31c7abaec6c8629ce21dac"/>
    <w:p>
      <w:pPr>
        <w:pStyle w:val="Heading2"/>
      </w:pPr>
      <w:r>
        <w:t xml:space="preserve">Layer 02: Outlier Detection as Hard Escalation</w:t>
      </w:r>
    </w:p>
    <w:p>
      <w:pPr>
        <w:pStyle w:val="FirstParagraph"/>
      </w:pPr>
      <w:r>
        <w:t xml:space="preserve">When multiple model samples disagree about a specific value, the disagreement contains information.</w:t>
      </w:r>
      <w:r>
        <w:t xml:space="preserve"> </w:t>
      </w:r>
      <w:r>
        <w:t xml:space="preserve">This layer uses Tukey’s Inter-Quartile Range (IQR) fence method to detect statistical outliers across model samples and routes them to human review via a four-tier escalation system.</w:t>
      </w:r>
    </w:p>
    <w:p>
      <w:pPr>
        <w:pStyle w:val="BodyText"/>
      </w:pPr>
      <w:r>
        <w:t xml:space="preserve">The key design choice is the</w:t>
      </w:r>
      <w:r>
        <w:t xml:space="preserve"> </w:t>
      </w:r>
      <w:r>
        <w:rPr>
          <w:bCs/>
          <w:b/>
        </w:rPr>
        <w:t xml:space="preserve">OR condition</w:t>
      </w:r>
      <w:r>
        <w:t xml:space="preserve">: outliers</w:t>
      </w:r>
      <w:r>
        <w:t xml:space="preserve"> </w:t>
      </w:r>
      <w:r>
        <w:rPr>
          <w:iCs/>
          <w:i/>
        </w:rPr>
        <w:t xml:space="preserve">or</w:t>
      </w:r>
      <w:r>
        <w:t xml:space="preserve"> </w:t>
      </w:r>
      <w:r>
        <w:t xml:space="preserve">low confidence, each independently, trigger escalation to the highest tier (</w:t>
      </w:r>
      <w:r>
        <w:rPr>
          <w:smallCaps/>
        </w:rPr>
        <w:t xml:space="preserve">Expert_Required</w:t>
      </w:r>
      <w:r>
        <w:t xml:space="preserve">).</w:t>
      </w:r>
      <w:r>
        <w:t xml:space="preserve"> </w:t>
      </w:r>
      <w:r>
        <w:t xml:space="preserve">The system fails safe—even perfect confidence cannot override a statistical outlier.</w:t>
      </w:r>
      <w:r>
        <w:t xml:space="preserve"> </w:t>
      </w:r>
      <w:r>
        <w:t xml:space="preserve">The four tiers (</w:t>
      </w:r>
      <w:r>
        <w:rPr>
          <w:smallCaps/>
        </w:rPr>
        <w:t xml:space="preserve">Expert_Required</w:t>
      </w:r>
      <w:r>
        <w:t xml:space="preserve">,</w:t>
      </w:r>
      <w:r>
        <w:t xml:space="preserve"> </w:t>
      </w:r>
      <w:r>
        <w:rPr>
          <w:smallCaps/>
        </w:rPr>
        <w:t xml:space="preserve">Detailed_Review</w:t>
      </w:r>
      <w:r>
        <w:t xml:space="preserve">,</w:t>
      </w:r>
      <w:r>
        <w:t xml:space="preserve"> </w:t>
      </w:r>
      <w:r>
        <w:rPr>
          <w:smallCaps/>
        </w:rPr>
        <w:t xml:space="preserve">Spot_Check</w:t>
      </w:r>
      <w:r>
        <w:t xml:space="preserve">,</w:t>
      </w:r>
      <w:r>
        <w:t xml:space="preserve"> </w:t>
      </w:r>
      <w:r>
        <w:rPr>
          <w:smallCaps/>
        </w:rPr>
        <w:t xml:space="preserve">None</w:t>
      </w:r>
      <w:r>
        <w:t xml:space="preserve">) provide graduated response rather than binary pass/fail.</w:t>
      </w:r>
    </w:p>
    <w:bookmarkStart w:id="34" w:name="evidence.-1"/>
    <w:p>
      <w:pPr>
        <w:pStyle w:val="Heading4"/>
      </w:pPr>
      <w:r>
        <w:t xml:space="preserve">Evidence.</w:t>
      </w:r>
    </w:p>
    <w:p>
      <w:pPr>
        <w:pStyle w:val="FirstParagraph"/>
      </w:pPr>
      <w:r>
        <w:t xml:space="preserve">The reference implementation (44 tests, 98% coverage) is generalised from the PDA Platform</w:t>
      </w:r>
      <w:r>
        <w:t xml:space="preserve"> </w:t>
      </w:r>
      <w:r>
        <w:t xml:space="preserve">(Newman 2026)</w:t>
      </w:r>
      <w:r>
        <w:t xml:space="preserve">.</w:t>
      </w:r>
      <w:r>
        <w:t xml:space="preserve"> </w:t>
      </w:r>
      <w:r>
        <w:t xml:space="preserve">Each outlier flag carries a plain-English reason string documenting which value was flagged, the fence value, and the consensus.</w:t>
      </w:r>
    </w:p>
    <w:bookmarkEnd w:id="34"/>
    <w:bookmarkStart w:id="35" w:name="limitation.-1"/>
    <w:p>
      <w:pPr>
        <w:pStyle w:val="Heading4"/>
      </w:pPr>
      <w:r>
        <w:t xml:space="preserve">Limitation.</w:t>
      </w:r>
    </w:p>
    <w:p>
      <w:pPr>
        <w:pStyle w:val="FirstParagraph"/>
      </w:pPr>
      <w:r>
        <w:t xml:space="preserve">IQR is a blunt instrument for heavy-tailed distributions and requires at least six tightly clustered samples for reliable detection.</w:t>
      </w:r>
      <w:r>
        <w:t xml:space="preserve"> </w:t>
      </w:r>
      <w:r>
        <w:t xml:space="preserve">With fewer samples, a single outlier can inflate Q3 and widen the fence past itself—a documented limitation verified in the test suite.</w:t>
      </w:r>
    </w:p>
    <w:bookmarkEnd w:id="35"/>
    <w:bookmarkEnd w:id="36"/>
    <w:bookmarkStart w:id="39" w:name="layer-03-making-failures-visible"/>
    <w:p>
      <w:pPr>
        <w:pStyle w:val="Heading2"/>
      </w:pPr>
      <w:r>
        <w:t xml:space="preserve">Layer 03: Making Failures Visible</w:t>
      </w:r>
    </w:p>
    <w:p>
      <w:pPr>
        <w:pStyle w:val="FirstParagraph"/>
      </w:pPr>
      <w:r>
        <w:t xml:space="preserve">Most AI systems have two output categories: results they return and results they discard.</w:t>
      </w:r>
      <w:r>
        <w:t xml:space="preserve"> </w:t>
      </w:r>
      <w:r>
        <w:t xml:space="preserve">This layer introduces a third: results the system is suspicious of, separated from trusted results and made visible to human reviewers.</w:t>
      </w:r>
    </w:p>
    <w:p>
      <w:pPr>
        <w:pStyle w:val="BodyText"/>
      </w:pPr>
      <w:r>
        <w:t xml:space="preserve">Quality scoring evaluates each sample against coherence (40%), relevance (40%), and completeness (20%), with an entropy penalty for high-variance outputs:</w:t>
      </w:r>
    </w:p>
    <w:p>
      <w:pPr>
        <w:pStyle w:val="BodyText"/>
      </w:pPr>
      <m:oMathPara>
        <m:oMathParaPr>
          <m:jc m:val="center"/>
        </m:oMathParaPr>
        <m:oMath>
          <m:r>
            <m:rPr>
              <m:nor/>
              <m:sty m:val="p"/>
            </m:rPr>
            <m:t>penalty</m:t>
          </m:r>
          <m:r>
            <m:rPr>
              <m:sty m:val="p"/>
            </m:rPr>
            <m:t>=</m:t>
          </m:r>
          <m:r>
            <m:rPr>
              <m:sty m:val="p"/>
            </m:rPr>
            <m:t>max</m:t>
          </m:r>
          <m:d>
            <m:dPr>
              <m:begChr m:val="("/>
              <m:endChr m:val=")"/>
              <m:sepChr m:val=""/>
              <m:grow/>
            </m:dPr>
            <m:e>
              <m:r>
                <m:t>0</m:t>
              </m:r>
              <m:r>
                <m:rPr>
                  <m:sty m:val="p"/>
                </m:rPr>
                <m:t>,</m:t>
              </m:r>
              <m:r>
                <m:t> </m:t>
              </m:r>
              <m:r>
                <m:rPr>
                  <m:nor/>
                  <m:sty m:val="p"/>
                </m:rPr>
                <m:t>entropy</m:t>
              </m:r>
              <m:r>
                <m:rPr>
                  <m:sty m:val="p"/>
                </m:rPr>
                <m:t>−</m:t>
              </m:r>
              <m:r>
                <m:t>0.5</m:t>
              </m:r>
            </m:e>
          </m:d>
          <m:r>
            <m:rPr>
              <m:sty m:val="p"/>
            </m:rPr>
            <m:t>×</m:t>
          </m:r>
          <m:r>
            <m:t>0.5</m:t>
          </m:r>
        </m:oMath>
      </m:oMathPara>
    </w:p>
    <w:p>
      <w:pPr>
        <w:pStyle w:val="FirstParagraph"/>
      </w:pPr>
      <m:oMathPara>
        <m:oMathParaPr>
          <m:jc m:val="center"/>
        </m:oMathParaPr>
        <m:oMath>
          <m:r>
            <m:rPr>
              <m:nor/>
              <m:sty m:val="p"/>
            </m:rPr>
            <m:t>overall</m:t>
          </m:r>
          <m:r>
            <m:rPr>
              <m:sty m:val="p"/>
            </m:rPr>
            <m:t>=</m:t>
          </m:r>
          <m:d>
            <m:dPr>
              <m:begChr m:val="("/>
              <m:endChr m:val=")"/>
              <m:sepChr m:val=""/>
              <m:grow/>
            </m:dPr>
            <m:e>
              <m:r>
                <m:t>0.4</m:t>
              </m:r>
              <m:r>
                <m:t>c</m:t>
              </m:r>
              <m:r>
                <m:rPr>
                  <m:sty m:val="p"/>
                </m:rPr>
                <m:t>+</m:t>
              </m:r>
              <m:r>
                <m:t>0.4</m:t>
              </m:r>
              <m:r>
                <m:t>r</m:t>
              </m:r>
              <m:r>
                <m:rPr>
                  <m:sty m:val="p"/>
                </m:rPr>
                <m:t>+</m:t>
              </m:r>
              <m:r>
                <m:t>0.2</m:t>
              </m:r>
              <m:r>
                <m:t>m</m:t>
              </m:r>
            </m:e>
          </m:d>
          <m:r>
            <m:rPr>
              <m:sty m:val="p"/>
            </m:rPr>
            <m:t>−</m:t>
          </m:r>
          <m:r>
            <m:rPr>
              <m:nor/>
              <m:sty m:val="p"/>
            </m:rPr>
            <m:t>penalty</m:t>
          </m:r>
        </m:oMath>
      </m:oMathPara>
    </w:p>
    <w:p>
      <w:pPr>
        <w:pStyle w:val="FirstParagraph"/>
      </w:pPr>
      <w:r>
        <w:t xml:space="preserve">Samples with semantic entropy exceeding a threshold (default 0.7) are added to the</w:t>
      </w:r>
      <w:r>
        <w:t xml:space="preserve"> </w:t>
      </w:r>
      <w:r>
        <w:rPr>
          <w:iCs/>
          <w:i/>
        </w:rPr>
        <w:t xml:space="preserve">potential hallucinations list</w:t>
      </w:r>
      <w:r>
        <w:t xml:space="preserve">—published alongside model outputs, never silently filtered.</w:t>
      </w:r>
      <w:r>
        <w:t xml:space="preserve"> </w:t>
      </w:r>
      <w:r>
        <w:t xml:space="preserve">The quality pass rate serves as a system-level health metric.</w:t>
      </w:r>
    </w:p>
    <w:bookmarkStart w:id="37" w:name="evidence.-2"/>
    <w:p>
      <w:pPr>
        <w:pStyle w:val="Heading4"/>
      </w:pPr>
      <w:r>
        <w:t xml:space="preserve">Evidence.</w:t>
      </w:r>
    </w:p>
    <w:p>
      <w:pPr>
        <w:pStyle w:val="FirstParagraph"/>
      </w:pPr>
      <w:r>
        <w:t xml:space="preserve">The reference implementation (45 tests, 98% coverage) is generalised from the PDA Platform</w:t>
      </w:r>
      <w:r>
        <w:t xml:space="preserve"> </w:t>
      </w:r>
      <w:r>
        <w:t xml:space="preserve">(Newman 2026)</w:t>
      </w:r>
      <w:r>
        <w:t xml:space="preserve">.</w:t>
      </w:r>
    </w:p>
    <w:bookmarkEnd w:id="37"/>
    <w:bookmarkStart w:id="38" w:name="limitation.-2"/>
    <w:p>
      <w:pPr>
        <w:pStyle w:val="Heading4"/>
      </w:pPr>
      <w:r>
        <w:t xml:space="preserve">Limitation.</w:t>
      </w:r>
    </w:p>
    <w:p>
      <w:pPr>
        <w:pStyle w:val="FirstParagraph"/>
      </w:pPr>
      <w:r>
        <w:t xml:space="preserve">The list is only useful if someone reads it.</w:t>
      </w:r>
      <w:r>
        <w:t xml:space="preserve"> </w:t>
      </w:r>
      <w:r>
        <w:t xml:space="preserve">Alert fatigue at low thresholds and the commercial discomfort of showing uncertainty are real adoption barriers.</w:t>
      </w:r>
      <w:r>
        <w:t xml:space="preserve"> </w:t>
      </w:r>
      <w:r>
        <w:t xml:space="preserve">Semantic entropy catches high-variance failures but not confident-but-wrong outputs—those require calibration (Layer 04) or source grounding (Layer 06).</w:t>
      </w:r>
    </w:p>
    <w:bookmarkEnd w:id="38"/>
    <w:bookmarkEnd w:id="39"/>
    <w:bookmarkStart w:id="42" w:name="X8fe19a18d7097e1ae1f4740618cf98559951335"/>
    <w:p>
      <w:pPr>
        <w:pStyle w:val="Heading2"/>
      </w:pPr>
      <w:r>
        <w:t xml:space="preserve">Layer 04: Calibration and Conformal Prediction</w:t>
      </w:r>
    </w:p>
    <w:p>
      <w:pPr>
        <w:pStyle w:val="FirstParagraph"/>
      </w:pPr>
      <w:r>
        <w:t xml:space="preserve">Standard softmax probabilities are systematically overconfident.</w:t>
      </w:r>
      <w:r>
        <w:t xml:space="preserve"> </w:t>
      </w:r>
      <w:r>
        <w:t xml:space="preserve">Guo et al. (2017)</w:t>
      </w:r>
      <w:r>
        <w:t xml:space="preserve"> </w:t>
      </w:r>
      <w:r>
        <w:t xml:space="preserve">showed that a 110-layer ResNet on CIFAR-100 produced ECE of 12.75%.</w:t>
      </w:r>
      <w:r>
        <w:t xml:space="preserve"> </w:t>
      </w:r>
      <w:r>
        <w:t xml:space="preserve">Moradi et al. (2025)</w:t>
      </w:r>
      <w:r>
        <w:t xml:space="preserve"> </w:t>
      </w:r>
      <w:r>
        <w:t xml:space="preserve">found that NREL’s solar energy forecasting models, designed for 90% prediction intervals, achieved only 47.9–83% coverage in practice.</w:t>
      </w:r>
    </w:p>
    <w:p>
      <w:pPr>
        <w:pStyle w:val="BodyText"/>
      </w:pPr>
      <w:r>
        <w:rPr>
          <w:bCs/>
          <w:b/>
        </w:rPr>
        <w:t xml:space="preserve">Temperature scaling</w:t>
      </w:r>
      <w:r>
        <w:t xml:space="preserve"> </w:t>
      </w:r>
      <w:r>
        <w:t xml:space="preserve">divides logits by a learned parameter</w:t>
      </w:r>
      <w:r>
        <w:t xml:space="preserve"> </w:t>
      </w:r>
      <m:oMath>
        <m:r>
          <m:t>T</m:t>
        </m:r>
        <m:r>
          <m:rPr>
            <m:sty m:val="p"/>
          </m:rPr>
          <m:t>&gt;</m:t>
        </m:r>
        <m:r>
          <m:t>0</m:t>
        </m:r>
      </m:oMath>
      <w:r>
        <w:t xml:space="preserve"> </w:t>
      </w:r>
      <w:r>
        <w:t xml:space="preserve">before softmax, reducing overconfidence with a single parameter.</w:t>
      </w:r>
      <w:r>
        <w:t xml:space="preserve"> </w:t>
      </w:r>
      <w:r>
        <w:t xml:space="preserve">It typically reduces ECE significantly (in our demonstration, from 0.077 to 0.019 with</w:t>
      </w:r>
      <w:r>
        <w:t xml:space="preserve"> </w:t>
      </w:r>
      <m:oMath>
        <m:r>
          <m:t>T</m:t>
        </m:r>
        <m:r>
          <m:rPr>
            <m:sty m:val="p"/>
          </m:rPr>
          <m:t>=</m:t>
        </m:r>
        <m:r>
          <m:t>2.27</m:t>
        </m:r>
      </m:oMath>
      <w:r>
        <w:t xml:space="preserve">) but offers no formal guarantee and degrades under distribution shift</w:t>
      </w:r>
      <w:r>
        <w:t xml:space="preserve"> </w:t>
      </w:r>
      <w:r>
        <w:t xml:space="preserve">(Ovadia et al. 2019)</w:t>
      </w:r>
      <w:r>
        <w:t xml:space="preserve">.</w:t>
      </w:r>
    </w:p>
    <w:p>
      <w:pPr>
        <w:pStyle w:val="BodyText"/>
      </w:pPr>
      <w:r>
        <w:rPr>
          <w:bCs/>
          <w:b/>
        </w:rPr>
        <w:t xml:space="preserve">Split conformal prediction</w:t>
      </w:r>
      <w:r>
        <w:t xml:space="preserve"> </w:t>
      </w:r>
      <w:r>
        <w:t xml:space="preserve">(Vovk, Gammerman, and Shafer 2005; Angelopoulos and Bates 2023)</w:t>
      </w:r>
      <w:r>
        <w:t xml:space="preserve"> </w:t>
      </w:r>
      <w:r>
        <w:t xml:space="preserve">provides a finite-sample coverage guarantee.</w:t>
      </w:r>
      <w:r>
        <w:t xml:space="preserve"> </w:t>
      </w:r>
      <w:r>
        <w:t xml:space="preserve">Given</w:t>
      </w:r>
      <w:r>
        <w:t xml:space="preserve"> </w:t>
      </w:r>
      <m:oMath>
        <m:r>
          <m:t>n</m:t>
        </m:r>
      </m:oMath>
      <w:r>
        <w:t xml:space="preserve"> </w:t>
      </w:r>
      <w:r>
        <w:t xml:space="preserve">calibration examples and target miscoverage</w:t>
      </w:r>
      <w:r>
        <w:t xml:space="preserve"> </w:t>
      </w:r>
      <m:oMath>
        <m:r>
          <m:t>α</m:t>
        </m:r>
      </m:oMath>
      <w:r>
        <w:t xml:space="preserve">, the conformal threshold</w:t>
      </w:r>
      <w:r>
        <w:t xml:space="preserve"> </w:t>
      </w:r>
      <m:oMath>
        <m:acc>
          <m:accPr>
            <m:chr m:val="̂"/>
          </m:accPr>
          <m:e>
            <m:r>
              <m:t>q</m:t>
            </m:r>
          </m:e>
        </m:acc>
      </m:oMath>
      <w:r>
        <w:t xml:space="preserve"> </w:t>
      </w:r>
      <w:r>
        <w:t xml:space="preserve">is the</w:t>
      </w:r>
      <w:r>
        <w:t xml:space="preserve"> </w:t>
      </w:r>
      <m:oMath>
        <m:r>
          <m:rPr>
            <m:sty m:val="p"/>
          </m:rPr>
          <m:t>⌈</m:t>
        </m:r>
        <m:d>
          <m:dPr>
            <m:begChr m:val="("/>
            <m:endChr m:val=")"/>
            <m:sepChr m:val=""/>
            <m:grow/>
          </m:dPr>
          <m:e>
            <m:r>
              <m:t>n</m:t>
            </m:r>
            <m:r>
              <m:rPr>
                <m:sty m:val="p"/>
              </m:rPr>
              <m:t>+</m:t>
            </m:r>
            <m:r>
              <m:t>1</m:t>
            </m:r>
          </m:e>
        </m:d>
        <m:d>
          <m:dPr>
            <m:begChr m:val="("/>
            <m:endChr m:val=")"/>
            <m:sepChr m:val=""/>
            <m:grow/>
          </m:dPr>
          <m:e>
            <m:r>
              <m:t>1</m:t>
            </m:r>
            <m:r>
              <m:rPr>
                <m:sty m:val="p"/>
              </m:rPr>
              <m:t>−</m:t>
            </m:r>
            <m:r>
              <m:t>α</m:t>
            </m:r>
          </m:e>
        </m:d>
        <m:r>
          <m:rPr>
            <m:sty m:val="p"/>
          </m:rPr>
          <m:t>⌉</m:t>
        </m:r>
        <m:r>
          <m:rPr>
            <m:sty m:val="p"/>
          </m:rPr>
          <m:t>/</m:t>
        </m:r>
        <m:r>
          <m:t>n</m:t>
        </m:r>
      </m:oMath>
      <w:r>
        <w:t xml:space="preserve"> </w:t>
      </w:r>
      <w:r>
        <w:t xml:space="preserve">quantile of conformity scores.</w:t>
      </w:r>
      <w:r>
        <w:t xml:space="preserve"> </w:t>
      </w:r>
      <w:r>
        <w:t xml:space="preserve">Prediction sets including all classes with conformity score</w:t>
      </w:r>
      <w:r>
        <w:t xml:space="preserve"> </w:t>
      </w:r>
      <m:oMath>
        <m:r>
          <m:rPr>
            <m:sty m:val="p"/>
          </m:rPr>
          <m:t>≤</m:t>
        </m:r>
        <m:acc>
          <m:accPr>
            <m:chr m:val="̂"/>
          </m:accPr>
          <m:e>
            <m:r>
              <m:t>q</m:t>
            </m:r>
          </m:e>
        </m:acc>
      </m:oMath>
      <w:r>
        <w:t xml:space="preserve"> </w:t>
      </w:r>
      <w:r>
        <w:t xml:space="preserve">contain the true class with probability</w:t>
      </w:r>
      <w:r>
        <w:t xml:space="preserve"> </w:t>
      </w:r>
      <m:oMath>
        <m:r>
          <m:rPr>
            <m:sty m:val="p"/>
          </m:rPr>
          <m:t>≥</m:t>
        </m:r>
        <m:r>
          <m:t>1</m:t>
        </m:r>
        <m:r>
          <m:rPr>
            <m:sty m:val="p"/>
          </m:rPr>
          <m:t>−</m:t>
        </m:r>
        <m:r>
          <m:t>α</m:t>
        </m:r>
      </m:oMath>
      <w:r>
        <w:t xml:space="preserve">.</w:t>
      </w:r>
      <w:r>
        <w:t xml:space="preserve"> </w:t>
      </w:r>
      <w:r>
        <w:t xml:space="preserve">In our demonstration, empirical coverage is 91.6% against a 90% target.</w:t>
      </w:r>
    </w:p>
    <w:bookmarkStart w:id="40" w:name="evidence.-3"/>
    <w:p>
      <w:pPr>
        <w:pStyle w:val="Heading4"/>
      </w:pPr>
      <w:r>
        <w:t xml:space="preserve">Evidence.</w:t>
      </w:r>
    </w:p>
    <w:p>
      <w:pPr>
        <w:pStyle w:val="FirstParagraph"/>
      </w:pPr>
      <w:r>
        <w:t xml:space="preserve">The reference implementation (65 tests, 100% coverage) implements conformal prediction from scratch using NumPy.</w:t>
      </w:r>
      <w:r>
        <w:t xml:space="preserve"> </w:t>
      </w:r>
      <w:r>
        <w:t xml:space="preserve">Production deployments include AstraZeneca’s Predictive Insight Platform for drug discovery</w:t>
      </w:r>
      <w:r>
        <w:t xml:space="preserve"> </w:t>
      </w:r>
      <w:r>
        <w:t xml:space="preserve">(Eklund et al. 2015; Alvarsson et al. 2021)</w:t>
      </w:r>
      <w:r>
        <w:t xml:space="preserve">, ING Bank’s intent classification chatbot</w:t>
      </w:r>
      <w:r>
        <w:t xml:space="preserve"> </w:t>
      </w:r>
      <w:r>
        <w:t xml:space="preserve">(Hengst et al. 2024)</w:t>
      </w:r>
      <w:r>
        <w:t xml:space="preserve">, and a Bayesian-conformal hybrid for hospital length-of-stay prediction achieving 94.3% coverage with 21% narrower intervals for low-uncertainty cases across 61,538 admissions</w:t>
      </w:r>
      <w:r>
        <w:t xml:space="preserve"> </w:t>
      </w:r>
      <w:r>
        <w:t xml:space="preserve">(Shahbazi, Baheri, and Azadeh-Fard 2026)</w:t>
      </w:r>
      <w:r>
        <w:t xml:space="preserve">.</w:t>
      </w:r>
    </w:p>
    <w:bookmarkEnd w:id="40"/>
    <w:bookmarkStart w:id="41" w:name="limitation.-3"/>
    <w:p>
      <w:pPr>
        <w:pStyle w:val="Heading4"/>
      </w:pPr>
      <w:r>
        <w:t xml:space="preserve">Limitation.</w:t>
      </w:r>
    </w:p>
    <w:p>
      <w:pPr>
        <w:pStyle w:val="FirstParagraph"/>
      </w:pPr>
      <w:r>
        <w:t xml:space="preserve">The coverage guarantee is marginal (averaged over test points), not conditional (per specific input).</w:t>
      </w:r>
      <w:r>
        <w:t xml:space="preserve"> </w:t>
      </w:r>
      <w:r>
        <w:t xml:space="preserve">It requires exchangeability between calibration and test data, which breaks with time series, distribution shift, and concept drift.</w:t>
      </w:r>
      <w:r>
        <w:t xml:space="preserve"> </w:t>
      </w:r>
      <w:r>
        <w:t xml:space="preserve">Adaptive Conformal Inference</w:t>
      </w:r>
      <w:r>
        <w:t xml:space="preserve"> </w:t>
      </w:r>
      <w:r>
        <w:t xml:space="preserve">(Gibbs and Candès 2021)</w:t>
      </w:r>
      <w:r>
        <w:t xml:space="preserve"> </w:t>
      </w:r>
      <w:r>
        <w:t xml:space="preserve">addresses this for online settings but is not implemented in the reference module.</w:t>
      </w:r>
    </w:p>
    <w:bookmarkEnd w:id="41"/>
    <w:bookmarkEnd w:id="42"/>
    <w:bookmarkStart w:id="45" w:name="layer-05-deterministic-guardrails"/>
    <w:p>
      <w:pPr>
        <w:pStyle w:val="Heading2"/>
      </w:pPr>
      <w:r>
        <w:t xml:space="preserve">Layer 05: Deterministic Guardrails</w:t>
      </w:r>
    </w:p>
    <w:p>
      <w:pPr>
        <w:pStyle w:val="FirstParagraph"/>
      </w:pPr>
      <w:r>
        <w:t xml:space="preserve">The model proposes.</w:t>
      </w:r>
      <w:r>
        <w:t xml:space="preserve"> </w:t>
      </w:r>
      <w:r>
        <w:t xml:space="preserve">The rule decides.</w:t>
      </w:r>
      <w:r>
        <w:t xml:space="preserve"> </w:t>
      </w:r>
      <w:r>
        <w:t xml:space="preserve">A deterministic guardrail is an architectural separation between a probabilistic model and a policy enforcement layer.</w:t>
      </w:r>
      <w:r>
        <w:t xml:space="preserve"> </w:t>
      </w:r>
      <w:r>
        <w:t xml:space="preserve">Each rule has a name, a human-readable description, a severity (</w:t>
      </w:r>
      <w:r>
        <w:rPr>
          <w:smallCaps/>
        </w:rPr>
        <w:t xml:space="preserve">Block</w:t>
      </w:r>
      <w:r>
        <w:t xml:space="preserve">,</w:t>
      </w:r>
      <w:r>
        <w:t xml:space="preserve"> </w:t>
      </w:r>
      <w:r>
        <w:rPr>
          <w:smallCaps/>
        </w:rPr>
        <w:t xml:space="preserve">Warn</w:t>
      </w:r>
      <w:r>
        <w:t xml:space="preserve">,</w:t>
      </w:r>
      <w:r>
        <w:t xml:space="preserve"> </w:t>
      </w:r>
      <w:r>
        <w:rPr>
          <w:smallCaps/>
        </w:rPr>
        <w:t xml:space="preserve">Info</w:t>
      </w:r>
      <w:r>
        <w:t xml:space="preserve">), and a condition callable.</w:t>
      </w:r>
      <w:r>
        <w:t xml:space="preserve"> </w:t>
      </w:r>
      <w:r>
        <w:t xml:space="preserve">The verdict is determined by the highest-severity violation: any</w:t>
      </w:r>
      <w:r>
        <w:t xml:space="preserve"> </w:t>
      </w:r>
      <w:r>
        <w:rPr>
          <w:smallCaps/>
        </w:rPr>
        <w:t xml:space="preserve">Block</w:t>
      </w:r>
      <w:r>
        <w:t xml:space="preserve"> </w:t>
      </w:r>
      <w:r>
        <w:t xml:space="preserve">produces</w:t>
      </w:r>
      <w:r>
        <w:t xml:space="preserve"> </w:t>
      </w:r>
      <w:r>
        <w:rPr>
          <w:smallCaps/>
        </w:rPr>
        <w:t xml:space="preserve">Rejected</w:t>
      </w:r>
      <w:r>
        <w:t xml:space="preserve">, any</w:t>
      </w:r>
      <w:r>
        <w:t xml:space="preserve"> </w:t>
      </w:r>
      <w:r>
        <w:rPr>
          <w:smallCaps/>
        </w:rPr>
        <w:t xml:space="preserve">Warn</w:t>
      </w:r>
      <w:r>
        <w:t xml:space="preserve"> </w:t>
      </w:r>
      <w:r>
        <w:t xml:space="preserve">produces</w:t>
      </w:r>
      <w:r>
        <w:t xml:space="preserve"> </w:t>
      </w:r>
      <w:r>
        <w:rPr>
          <w:smallCaps/>
        </w:rPr>
        <w:t xml:space="preserve">Flagged</w:t>
      </w:r>
      <w:r>
        <w:t xml:space="preserve">, otherwise</w:t>
      </w:r>
      <w:r>
        <w:t xml:space="preserve"> </w:t>
      </w:r>
      <w:r>
        <w:rPr>
          <w:smallCaps/>
        </w:rPr>
        <w:t xml:space="preserve">Approved</w:t>
      </w:r>
      <w:r>
        <w:t xml:space="preserve">.</w:t>
      </w:r>
    </w:p>
    <w:p>
      <w:pPr>
        <w:pStyle w:val="BodyText"/>
      </w:pPr>
      <w:r>
        <w:t xml:space="preserve">The audit trail documents every rule evaluation—what was checked, whether it passed or failed, and why—creating the paper trail that makes the system auditable.</w:t>
      </w:r>
    </w:p>
    <w:bookmarkStart w:id="43" w:name="evidence.-4"/>
    <w:p>
      <w:pPr>
        <w:pStyle w:val="Heading4"/>
      </w:pPr>
      <w:r>
        <w:t xml:space="preserve">Evidence.</w:t>
      </w:r>
    </w:p>
    <w:p>
      <w:pPr>
        <w:pStyle w:val="FirstParagraph"/>
      </w:pPr>
      <w:r>
        <w:t xml:space="preserve">The reference implementation (98 tests, 100% coverage) includes three factory functions for common rule patterns (range checks, required fields, allowed values) and supports arbitrary callable conditions.</w:t>
      </w:r>
      <w:r>
        <w:t xml:space="preserve"> </w:t>
      </w:r>
      <w:r>
        <w:t xml:space="preserve">The</w:t>
      </w:r>
      <w:r>
        <w:t xml:space="preserve"> </w:t>
      </w:r>
      <w:r>
        <w:t xml:space="preserve">“</w:t>
      </w:r>
      <w:r>
        <w:t xml:space="preserve">model proposes, rule decides</w:t>
      </w:r>
      <w:r>
        <w:t xml:space="preserve">”</w:t>
      </w:r>
      <w:r>
        <w:t xml:space="preserve"> </w:t>
      </w:r>
      <w:r>
        <w:t xml:space="preserve">pattern is standard practice in financial compliance, aviation maintenance (validated against approved maintenance programmes), and live broadcast content monitoring.</w:t>
      </w:r>
    </w:p>
    <w:bookmarkEnd w:id="43"/>
    <w:bookmarkStart w:id="44" w:name="limitation.-4"/>
    <w:p>
      <w:pPr>
        <w:pStyle w:val="Heading4"/>
      </w:pPr>
      <w:r>
        <w:t xml:space="preserve">Limitation.</w:t>
      </w:r>
    </w:p>
    <w:p>
      <w:pPr>
        <w:pStyle w:val="FirstParagraph"/>
      </w:pPr>
      <w:r>
        <w:t xml:space="preserve">Rules can only govern anticipated scenarios; policy debt accumulates as rule sets grow.</w:t>
      </w:r>
      <w:r>
        <w:t xml:space="preserve"> </w:t>
      </w:r>
      <w:r>
        <w:t xml:space="preserve">The guardrail provides a floor (prevents known-bad outputs) but not a ceiling (does not improve mediocre outputs).</w:t>
      </w:r>
      <w:r>
        <w:t xml:space="preserve"> </w:t>
      </w:r>
      <w:r>
        <w:t xml:space="preserve">Condition callables are opaque to static analysis—the description is a convention, not a contract.</w:t>
      </w:r>
    </w:p>
    <w:bookmarkEnd w:id="44"/>
    <w:bookmarkEnd w:id="45"/>
    <w:bookmarkStart w:id="48" w:name="layer-06-rag-as-explainability"/>
    <w:p>
      <w:pPr>
        <w:pStyle w:val="Heading2"/>
      </w:pPr>
      <w:r>
        <w:t xml:space="preserve">Layer 06: RAG as Explainability</w:t>
      </w:r>
    </w:p>
    <w:p>
      <w:pPr>
        <w:pStyle w:val="FirstParagraph"/>
      </w:pPr>
      <w:r>
        <w:t xml:space="preserve">Retrieval-Augmented Generation is typically framed as an accuracy technique.</w:t>
      </w:r>
      <w:r>
        <w:t xml:space="preserve"> </w:t>
      </w:r>
      <w:r>
        <w:t xml:space="preserve">This layer reframes it as an explainability and trust mechanism.</w:t>
      </w:r>
      <w:r>
        <w:t xml:space="preserve"> </w:t>
      </w:r>
      <w:r>
        <w:t xml:space="preserve">When a model’s output includes citations to source documents, the trust question shifts from</w:t>
      </w:r>
      <w:r>
        <w:t xml:space="preserve"> </w:t>
      </w:r>
      <w:r>
        <w:t xml:space="preserve">“</w:t>
      </w:r>
      <w:r>
        <w:t xml:space="preserve">do I trust this model’s reasoning?</w:t>
      </w:r>
      <w:r>
        <w:t xml:space="preserve">”</w:t>
      </w:r>
      <w:r>
        <w:t xml:space="preserve"> </w:t>
      </w:r>
      <w:r>
        <w:t xml:space="preserve">to</w:t>
      </w:r>
      <w:r>
        <w:t xml:space="preserve"> </w:t>
      </w:r>
      <w:r>
        <w:t xml:space="preserve">“</w:t>
      </w:r>
      <w:r>
        <w:t xml:space="preserve">do I trust these sources?</w:t>
      </w:r>
      <w:r>
        <w:t xml:space="preserve">”</w:t>
      </w:r>
      <w:r>
        <w:t xml:space="preserve">—a question a human can answer without understanding the model.</w:t>
      </w:r>
    </w:p>
    <w:p>
      <w:pPr>
        <w:pStyle w:val="BodyText"/>
      </w:pPr>
      <w:r>
        <w:t xml:space="preserve">The implementation provides three components: TF-IDF-based evidence retrieval with relevance scores, token-overlap groundedness checking that measures what fraction of answer tokens appear in retrieved sources, and a provenance trail documenting the full chain from query to answer to verification.</w:t>
      </w:r>
    </w:p>
    <w:p>
      <w:pPr>
        <w:pStyle w:val="BodyText"/>
      </w:pPr>
      <w:r>
        <w:t xml:space="preserve">Groundedness checking catches three specific RAG failure modes: hallucinating beyond context (generating claims not in the sources), source mismatch (citing documents that do not support the specific claim), and poor retrieval (relevant documents not found).</w:t>
      </w:r>
    </w:p>
    <w:bookmarkStart w:id="46" w:name="evidence.-5"/>
    <w:p>
      <w:pPr>
        <w:pStyle w:val="Heading4"/>
      </w:pPr>
      <w:r>
        <w:t xml:space="preserve">Evidence.</w:t>
      </w:r>
    </w:p>
    <w:p>
      <w:pPr>
        <w:pStyle w:val="FirstParagraph"/>
      </w:pPr>
      <w:r>
        <w:t xml:space="preserve">The reference implementation (61 tests, 100% coverage) demonstrates all three failure modes with a fictional regulatory knowledge base.</w:t>
      </w:r>
      <w:r>
        <w:t xml:space="preserve"> </w:t>
      </w:r>
      <w:r>
        <w:t xml:space="preserve">In clinical pharmacology, RAG-based compliance systems have been reported to achieve high accuracy in identifying regulatory gaps with exact paragraph citations.</w:t>
      </w:r>
    </w:p>
    <w:bookmarkEnd w:id="46"/>
    <w:bookmarkStart w:id="47" w:name="limitation.-5"/>
    <w:p>
      <w:pPr>
        <w:pStyle w:val="Heading4"/>
      </w:pPr>
      <w:r>
        <w:t xml:space="preserve">Limitation.</w:t>
      </w:r>
    </w:p>
    <w:p>
      <w:pPr>
        <w:pStyle w:val="FirstParagraph"/>
      </w:pPr>
      <w:r>
        <w:t xml:space="preserve">The technique is only as good as the source document store—grounded answers can be grounded in incorrect sources.</w:t>
      </w:r>
      <w:r>
        <w:t xml:space="preserve"> </w:t>
      </w:r>
      <w:r>
        <w:t xml:space="preserve">Token-overlap groundedness is a proxy for semantic support; production systems should use NLI-based models for entailment checking.</w:t>
      </w:r>
    </w:p>
    <w:bookmarkEnd w:id="47"/>
    <w:bookmarkEnd w:id="48"/>
    <w:bookmarkStart w:id="51" w:name="layer-07-adversarial-testing"/>
    <w:p>
      <w:pPr>
        <w:pStyle w:val="Heading2"/>
      </w:pPr>
      <w:r>
        <w:t xml:space="preserve">Layer 07: Adversarial Testing</w:t>
      </w:r>
    </w:p>
    <w:p>
      <w:pPr>
        <w:pStyle w:val="FirstParagraph"/>
      </w:pPr>
      <w:r>
        <w:t xml:space="preserve">Adversarial testing is the systematic process of probing an AI system with inputs designed to make it fail.</w:t>
      </w:r>
      <w:r>
        <w:t xml:space="preserve"> </w:t>
      </w:r>
      <w:r>
        <w:t xml:space="preserve">This layer implements a red teaming harness: a structured framework for running adversarial test cases against a system, evaluating outputs against a defined policy, and producing a severity-rated report.</w:t>
      </w:r>
    </w:p>
    <w:p>
      <w:pPr>
        <w:pStyle w:val="BodyText"/>
      </w:pPr>
      <w:r>
        <w:t xml:space="preserve">Policy rules define forbidden output patterns.</w:t>
      </w:r>
      <w:r>
        <w:t xml:space="preserve"> </w:t>
      </w:r>
      <w:r>
        <w:t xml:space="preserve">Test cases are organised by category (prompt injection, credential extraction, boundary probing).</w:t>
      </w:r>
      <w:r>
        <w:t xml:space="preserve"> </w:t>
      </w:r>
      <w:r>
        <w:t xml:space="preserve">Pattern matching is case-insensitive substring search—simple, transparent, and auditable.</w:t>
      </w:r>
      <w:r>
        <w:t xml:space="preserve"> </w:t>
      </w:r>
      <w:r>
        <w:t xml:space="preserve">The harness catches system-under-test exceptions gracefully, recording tracebacks as findings.</w:t>
      </w:r>
    </w:p>
    <w:bookmarkStart w:id="49" w:name="evidence.-6"/>
    <w:p>
      <w:pPr>
        <w:pStyle w:val="Heading4"/>
      </w:pPr>
      <w:r>
        <w:t xml:space="preserve">Evidence.</w:t>
      </w:r>
    </w:p>
    <w:p>
      <w:pPr>
        <w:pStyle w:val="FirstParagraph"/>
      </w:pPr>
      <w:r>
        <w:t xml:space="preserve">The reference implementation (62 tests, 100% coverage) demonstrates the pattern with a deterministic function simulating a naive content moderator with planted vulnerabilities.</w:t>
      </w:r>
      <w:r>
        <w:t xml:space="preserve"> </w:t>
      </w:r>
      <w:r>
        <w:t xml:space="preserve">Production tools for continuous automated red teaming include Garak</w:t>
      </w:r>
      <w:r>
        <w:t xml:space="preserve"> </w:t>
      </w:r>
      <w:r>
        <w:t xml:space="preserve">(NVIDIA 2024)</w:t>
      </w:r>
      <w:r>
        <w:t xml:space="preserve">, PyRIT</w:t>
      </w:r>
      <w:r>
        <w:t xml:space="preserve"> </w:t>
      </w:r>
      <w:r>
        <w:t xml:space="preserve">(Microsoft 2024)</w:t>
      </w:r>
      <w:r>
        <w:t xml:space="preserve">, Mindgard, and Giskard.</w:t>
      </w:r>
    </w:p>
    <w:bookmarkEnd w:id="49"/>
    <w:bookmarkStart w:id="50" w:name="limitation.-6"/>
    <w:p>
      <w:pPr>
        <w:pStyle w:val="Heading4"/>
      </w:pPr>
      <w:r>
        <w:t xml:space="preserve">Limitation.</w:t>
      </w:r>
    </w:p>
    <w:p>
      <w:pPr>
        <w:pStyle w:val="FirstParagraph"/>
      </w:pPr>
      <w:r>
        <w:t xml:space="preserve">The fundamental asymmetry: the attacker needs one path through, the defender must cover them all.</w:t>
      </w:r>
      <w:r>
        <w:t xml:space="preserve"> </w:t>
      </w:r>
      <w:r>
        <w:t xml:space="preserve">Red teaming is essential for discovery (finding where the system breaks) and insufficient for prevention (proving the absence of further breakpoints).</w:t>
      </w:r>
      <w:r>
        <w:t xml:space="preserve"> </w:t>
      </w:r>
      <w:r>
        <w:t xml:space="preserve">Static test suites become stale as models are updated.</w:t>
      </w:r>
    </w:p>
    <w:bookmarkEnd w:id="50"/>
    <w:bookmarkEnd w:id="51"/>
    <w:bookmarkStart w:id="54" w:name="layer-08-cryptographic-audit-trails"/>
    <w:p>
      <w:pPr>
        <w:pStyle w:val="Heading2"/>
      </w:pPr>
      <w:r>
        <w:t xml:space="preserve">Layer 08: Cryptographic Audit Trails</w:t>
      </w:r>
    </w:p>
    <w:p>
      <w:pPr>
        <w:pStyle w:val="FirstParagraph"/>
      </w:pPr>
      <w:r>
        <w:t xml:space="preserve">A cryptographic audit trail records every AI decision as an entry in a hash chain.</w:t>
      </w:r>
      <w:r>
        <w:t xml:space="preserve"> </w:t>
      </w:r>
      <w:r>
        <w:t xml:space="preserve">Each entry contains SHA-256 hashes of the input and output, the decision, a timestamp, metadata, and the hash of the previous entry.</w:t>
      </w:r>
      <w:r>
        <w:t xml:space="preserve"> </w:t>
      </w:r>
      <w:r>
        <w:t xml:space="preserve">Modifying any entry invalidates every subsequent hash, making tampering detectable by construction.</w:t>
      </w:r>
      <w:r>
        <w:t xml:space="preserve"> </w:t>
      </w:r>
      <w:r>
        <w:t xml:space="preserve">Optional HMAC-SHA256 signing binds each entry to a secret key, providing authenticity in addition to integrity.</w:t>
      </w:r>
    </w:p>
    <w:p>
      <w:pPr>
        <w:pStyle w:val="BodyText"/>
      </w:pPr>
      <w:r>
        <w:t xml:space="preserve">The EU AI Act</w:t>
      </w:r>
      <w:r>
        <w:t xml:space="preserve"> </w:t>
      </w:r>
      <w:r>
        <w:t xml:space="preserve">(European Parliament and Council 2024)</w:t>
      </w:r>
      <w:r>
        <w:t xml:space="preserve"> </w:t>
      </w:r>
      <w:r>
        <w:t xml:space="preserve">Article 50 requires machine-readable marking of synthetic content (enforceable August 2, 2026; penalties up to EUR 15M or 3% of global turnover).</w:t>
      </w:r>
      <w:r>
        <w:t xml:space="preserve"> </w:t>
      </w:r>
      <w:r>
        <w:t xml:space="preserve">ISO/IEC 42001</w:t>
      </w:r>
      <w:r>
        <w:t xml:space="preserve"> </w:t>
      </w:r>
      <w:r>
        <w:t xml:space="preserve">(International Organization for Standardization 2023)</w:t>
      </w:r>
      <w:r>
        <w:t xml:space="preserve"> </w:t>
      </w:r>
      <w:r>
        <w:t xml:space="preserve">Annex A.6.2.8 requires tamper-evident audit trails for AI systems.</w:t>
      </w:r>
    </w:p>
    <w:bookmarkStart w:id="52" w:name="evidence.-7"/>
    <w:p>
      <w:pPr>
        <w:pStyle w:val="Heading4"/>
      </w:pPr>
      <w:r>
        <w:t xml:space="preserve">Evidence.</w:t>
      </w:r>
    </w:p>
    <w:p>
      <w:pPr>
        <w:pStyle w:val="FirstParagraph"/>
      </w:pPr>
      <w:r>
        <w:t xml:space="preserve">The reference implementation (69 tests, 100% coverage) uses only the Python standard library.</w:t>
      </w:r>
      <w:r>
        <w:t xml:space="preserve"> </w:t>
      </w:r>
      <w:r>
        <w:t xml:space="preserve">BBC News launched C2PA Content Credentials in March 2024</w:t>
      </w:r>
      <w:r>
        <w:t xml:space="preserve"> </w:t>
      </w:r>
      <w:r>
        <w:t xml:space="preserve">(Coalition for Content Provenance and Authenticity 2025)</w:t>
      </w:r>
      <w:r>
        <w:t xml:space="preserve">; user research showed 83% of users reported increased trust.</w:t>
      </w:r>
      <w:r>
        <w:t xml:space="preserve"> </w:t>
      </w:r>
      <w:r>
        <w:t xml:space="preserve">Google’s Trillian provides production-grade Merkle tree logging for Certificate Transparency</w:t>
      </w:r>
      <w:r>
        <w:t xml:space="preserve"> </w:t>
      </w:r>
      <w:r>
        <w:t xml:space="preserve">(Crosby and Wallach 2009)</w:t>
      </w:r>
      <w:r>
        <w:t xml:space="preserve">.</w:t>
      </w:r>
    </w:p>
    <w:bookmarkEnd w:id="52"/>
    <w:bookmarkStart w:id="53" w:name="limitation.-7"/>
    <w:p>
      <w:pPr>
        <w:pStyle w:val="Heading4"/>
      </w:pPr>
      <w:r>
        <w:t xml:space="preserve">Limitation.</w:t>
      </w:r>
    </w:p>
    <w:p>
      <w:pPr>
        <w:pStyle w:val="FirstParagraph"/>
      </w:pPr>
      <w:r>
        <w:t xml:space="preserve">The chain certifies provenance, not truth.</w:t>
      </w:r>
      <w:r>
        <w:t xml:space="preserve"> </w:t>
      </w:r>
      <w:r>
        <w:t xml:space="preserve">The Integrity Clash</w:t>
      </w:r>
      <w:r>
        <w:t xml:space="preserve"> </w:t>
      </w:r>
      <w:r>
        <w:t xml:space="preserve">(Nemecek et al. 2026)</w:t>
      </w:r>
      <w:r>
        <w:t xml:space="preserve"> </w:t>
      </w:r>
      <w:r>
        <w:t xml:space="preserve">demonstrates that single-layer verification is exploitable: a C2PA manifest and a watermark can produce contradictory verdicts because neither layer cross-validates the other.</w:t>
      </w:r>
      <w:r>
        <w:t xml:space="preserve"> </w:t>
      </w:r>
      <w:r>
        <w:t xml:space="preserve">C2PA metadata is trivially stripped by screenshots, social media uploads, and format conversion.</w:t>
      </w:r>
    </w:p>
    <w:bookmarkEnd w:id="53"/>
    <w:bookmarkEnd w:id="54"/>
    <w:bookmarkStart w:id="57" w:name="layer-09-formal-verification"/>
    <w:p>
      <w:pPr>
        <w:pStyle w:val="Heading2"/>
      </w:pPr>
      <w:r>
        <w:t xml:space="preserve">Layer 09: Formal Verification</w:t>
      </w:r>
    </w:p>
    <w:p>
      <w:pPr>
        <w:pStyle w:val="FirstParagraph"/>
      </w:pPr>
      <w:r>
        <w:t xml:space="preserve">Formal verification applies mathematical proof techniques to neural networks via Satisfiability Modulo Theories (SMT) solvers.</w:t>
      </w:r>
      <w:r>
        <w:t xml:space="preserve"> </w:t>
      </w:r>
      <w:r>
        <w:t xml:space="preserve">Each neuron is encoded as a real-valued expression, each ReLU as a conditional (</w:t>
      </w:r>
      <m:oMath>
        <m:r>
          <m:rPr>
            <m:nor/>
            <m:sty m:val="p"/>
          </m:rPr>
          <m:t>If</m:t>
        </m:r>
        <m:d>
          <m:dPr>
            <m:begChr m:val="("/>
            <m:endChr m:val=")"/>
            <m:sepChr m:val=""/>
            <m:grow/>
          </m:dPr>
          <m:e>
            <m:r>
              <m:t>x</m:t>
            </m:r>
            <m:r>
              <m:rPr>
                <m:sty m:val="p"/>
              </m:rPr>
              <m:t>≥</m:t>
            </m:r>
            <m:r>
              <m:t>0</m:t>
            </m:r>
            <m:r>
              <m:rPr>
                <m:sty m:val="p"/>
              </m:rPr>
              <m:t>,</m:t>
            </m:r>
            <m:r>
              <m:t>x</m:t>
            </m:r>
            <m:r>
              <m:rPr>
                <m:sty m:val="p"/>
              </m:rPr>
              <m:t>,</m:t>
            </m:r>
            <m:r>
              <m:t>0</m:t>
            </m:r>
          </m:e>
        </m:d>
      </m:oMath>
      <w:r>
        <w:t xml:space="preserve">), and the property to verify as an additional constraint.</w:t>
      </w:r>
      <w:r>
        <w:t xml:space="preserve"> </w:t>
      </w:r>
      <w:r>
        <w:t xml:space="preserve">The solver either proves the property holds for all inputs in a bounded range or returns a counterexample—an exact input that violates it.</w:t>
      </w:r>
    </w:p>
    <w:p>
      <w:pPr>
        <w:pStyle w:val="BodyText"/>
      </w:pPr>
      <w:r>
        <w:t xml:space="preserve">The catch is the state-space explosion: each ReLU neuron doubles the possible activation patterns (</w:t>
      </w:r>
      <m:oMath>
        <m:sSup>
          <m:e>
            <m:r>
              <m:t>2</m:t>
            </m:r>
          </m:e>
          <m:sup>
            <m:r>
              <m:t>n</m:t>
            </m:r>
          </m:sup>
        </m:sSup>
      </m:oMath>
      <w:r>
        <w:t xml:space="preserve"> </w:t>
      </w:r>
      <w:r>
        <w:t xml:space="preserve">for</w:t>
      </w:r>
      <w:r>
        <w:t xml:space="preserve"> </w:t>
      </w:r>
      <m:oMath>
        <m:r>
          <m:t>n</m:t>
        </m:r>
      </m:oMath>
      <w:r>
        <w:t xml:space="preserve"> </w:t>
      </w:r>
      <w:r>
        <w:t xml:space="preserve">neurons).</w:t>
      </w:r>
      <w:r>
        <w:t xml:space="preserve"> </w:t>
      </w:r>
      <w:r>
        <w:t xml:space="preserve">In our demonstration, a 9-parameter network verifies in 0.03s; a 193-parameter network takes 46s—roughly 1,500</w:t>
      </w:r>
      <m:oMath>
        <m:r>
          <m:rPr>
            <m:sty m:val="p"/>
          </m:rPr>
          <m:t>×</m:t>
        </m:r>
      </m:oMath>
      <w:r>
        <w:t xml:space="preserve"> </w:t>
      </w:r>
      <w:r>
        <w:t xml:space="preserve">slower.</w:t>
      </w:r>
      <w:r>
        <w:t xml:space="preserve"> </w:t>
      </w:r>
      <w:r>
        <w:t xml:space="preserve">Frontier models with billions of parameters are beyond any current solver.</w:t>
      </w:r>
    </w:p>
    <w:p>
      <w:pPr>
        <w:pStyle w:val="BodyText"/>
      </w:pPr>
      <w:r>
        <w:t xml:space="preserve">The realistic 2026 implementation is the</w:t>
      </w:r>
      <w:r>
        <w:t xml:space="preserve"> </w:t>
      </w:r>
      <w:r>
        <w:rPr>
          <w:bCs/>
          <w:b/>
        </w:rPr>
        <w:t xml:space="preserve">Constrained AI pattern</w:t>
      </w:r>
      <w:r>
        <w:t xml:space="preserve">: a small, formally verified safety kernel monitors a larger unverified model.</w:t>
      </w:r>
      <w:r>
        <w:t xml:space="preserve"> </w:t>
      </w:r>
      <w:r>
        <w:t xml:space="preserve">When the model’s output exceeds the kernel’s proven bounds, the kernel overrides.</w:t>
      </w:r>
      <w:r>
        <w:t xml:space="preserve"> </w:t>
      </w:r>
      <w:r>
        <w:t xml:space="preserve">This pattern is used in aerospace (DO-178C Level A certified components) and autonomous vehicle braking systems.</w:t>
      </w:r>
    </w:p>
    <w:bookmarkStart w:id="55" w:name="evidence.-8"/>
    <w:p>
      <w:pPr>
        <w:pStyle w:val="Heading4"/>
      </w:pPr>
      <w:r>
        <w:t xml:space="preserve">Evidence.</w:t>
      </w:r>
    </w:p>
    <w:p>
      <w:pPr>
        <w:pStyle w:val="FirstParagraph"/>
      </w:pPr>
      <w:r>
        <w:t xml:space="preserve">The reference implementation uses the Z3 SMT solver to verify output bounds and monotonicity properties, and demonstrates the Constrained AI pattern with kernel override.</w:t>
      </w:r>
    </w:p>
    <w:bookmarkEnd w:id="55"/>
    <w:bookmarkStart w:id="56" w:name="limitation.-8"/>
    <w:p>
      <w:pPr>
        <w:pStyle w:val="Heading4"/>
      </w:pPr>
      <w:r>
        <w:t xml:space="preserve">Limitation.</w:t>
      </w:r>
    </w:p>
    <w:p>
      <w:pPr>
        <w:pStyle w:val="FirstParagraph"/>
      </w:pPr>
      <w:r>
        <w:t xml:space="preserve">Verification is infeasible for frontier models.</w:t>
      </w:r>
      <w:r>
        <w:t xml:space="preserve"> </w:t>
      </w:r>
      <w:r>
        <w:t xml:space="preserve">It can only prove explicitly specified mathematical properties—vague requirements like</w:t>
      </w:r>
      <w:r>
        <w:t xml:space="preserve"> </w:t>
      </w:r>
      <w:r>
        <w:t xml:space="preserve">“</w:t>
      </w:r>
      <w:r>
        <w:t xml:space="preserve">is the model safe?</w:t>
      </w:r>
      <w:r>
        <w:t xml:space="preserve">”</w:t>
      </w:r>
      <w:r>
        <w:t xml:space="preserve"> </w:t>
      </w:r>
      <w:r>
        <w:t xml:space="preserve">must be formalised before verification can begin.</w:t>
      </w:r>
      <w:r>
        <w:t xml:space="preserve"> </w:t>
      </w:r>
      <w:r>
        <w:t xml:space="preserve">The Constrained AI pattern introduces a capability ceiling: when the kernel overrides, the system is limited to the kernel’s (small, constrained) output.</w:t>
      </w:r>
    </w:p>
    <w:bookmarkEnd w:id="56"/>
    <w:bookmarkEnd w:id="57"/>
    <w:bookmarkEnd w:id="58"/>
    <w:bookmarkStart w:id="59" w:name="sec:integrity"/>
    <w:p>
      <w:pPr>
        <w:pStyle w:val="Heading1"/>
      </w:pPr>
      <w:r>
        <w:t xml:space="preserve">The Integrity Clash: A Case Study in Cross-Layer Failure</w:t>
      </w:r>
    </w:p>
    <w:p>
      <w:pPr>
        <w:pStyle w:val="FirstParagraph"/>
      </w:pPr>
      <w:r>
        <w:t xml:space="preserve">Nemecek et al. (2026)</w:t>
      </w:r>
      <w:r>
        <w:t xml:space="preserve"> </w:t>
      </w:r>
      <w:r>
        <w:t xml:space="preserve">formalised the Integrity Clash: a digital asset carrying a cryptographically valid C2PA manifest asserting human authorship while simultaneously carrying a watermark identifying it as AI-generated, with both signals passing their respective verification checks in isolation.</w:t>
      </w:r>
    </w:p>
    <w:p>
      <w:pPr>
        <w:pStyle w:val="BodyText"/>
      </w:pPr>
      <w:r>
        <w:t xml:space="preserve">The root cause is architectural, not cryptanalytic.</w:t>
      </w:r>
      <w:r>
        <w:t xml:space="preserve"> </w:t>
      </w:r>
      <w:r>
        <w:t xml:space="preserve">C2PA assertions are optional by specification; an adversary omits the AI-origin assertion.</w:t>
      </w:r>
      <w:r>
        <w:t xml:space="preserve"> </w:t>
      </w:r>
      <w:r>
        <w:t xml:space="preserve">The provenance layer and watermark detection layer operate independently: neither conditions on the output of the other.</w:t>
      </w:r>
      <w:r>
        <w:t xml:space="preserve"> </w:t>
      </w:r>
      <w:r>
        <w:t xml:space="preserve">The proposed cross-layer audit protocol achieved 100% classification accuracy across 3,500 test images by checking both layers simultaneously.</w:t>
      </w:r>
    </w:p>
    <w:p>
      <w:pPr>
        <w:pStyle w:val="BodyText"/>
      </w:pPr>
      <w:r>
        <w:t xml:space="preserve">This vulnerability is the meta-lesson for the entire framework.</w:t>
      </w:r>
      <w:r>
        <w:t xml:space="preserve"> </w:t>
      </w:r>
      <w:r>
        <w:t xml:space="preserve">The gaps between independent verification layers—not the layers themselves—are where trust breaks down.</w:t>
      </w:r>
      <w:r>
        <w:t xml:space="preserve"> </w:t>
      </w:r>
      <w:r>
        <w:t xml:space="preserve">Defence in depth requires not only multiple layers but cross-validation between them.</w:t>
      </w:r>
    </w:p>
    <w:bookmarkEnd w:id="59"/>
    <w:bookmarkStart w:id="60" w:name="sec:compound"/>
    <w:p>
      <w:pPr>
        <w:pStyle w:val="Heading1"/>
      </w:pPr>
      <w:r>
        <w:t xml:space="preserve">Compound Reliability in Agentic Workflows</w:t>
      </w:r>
    </w:p>
    <w:p>
      <w:pPr>
        <w:pStyle w:val="FirstParagraph"/>
      </w:pPr>
      <w:r>
        <w:t xml:space="preserve">In a single-step system, 95% reliability means 5 failures per 100 outputs.</w:t>
      </w:r>
      <w:r>
        <w:t xml:space="preserve"> </w:t>
      </w:r>
      <w:r>
        <w:t xml:space="preserve">In a</w:t>
      </w:r>
      <w:r>
        <w:t xml:space="preserve"> </w:t>
      </w:r>
      <m:oMath>
        <m:r>
          <m:t>k</m:t>
        </m:r>
      </m:oMath>
      <w:r>
        <w:t xml:space="preserve">-step agentic workflow where each step has reliability</w:t>
      </w:r>
      <w:r>
        <w:t xml:space="preserve"> </w:t>
      </w:r>
      <m:oMath>
        <m:r>
          <m:t>p</m:t>
        </m:r>
      </m:oMath>
      <w:r>
        <w:t xml:space="preserve">, the compound reliability is</w:t>
      </w:r>
      <w:r>
        <w:t xml:space="preserve"> </w:t>
      </w:r>
      <m:oMath>
        <m:sSup>
          <m:e>
            <m:r>
              <m:t>p</m:t>
            </m:r>
          </m:e>
          <m:sup>
            <m:r>
              <m:t>k</m:t>
            </m:r>
          </m:sup>
        </m:sSup>
      </m:oMath>
      <w:r>
        <w:t xml:space="preserve">.</w:t>
      </w:r>
      <w:r>
        <w:t xml:space="preserve"> </w:t>
      </w:r>
      <w:r>
        <w:t xml:space="preserve">At</w:t>
      </w:r>
      <w:r>
        <w:t xml:space="preserve"> </w:t>
      </w:r>
      <m:oMath>
        <m:r>
          <m:t>p</m:t>
        </m:r>
        <m:r>
          <m:rPr>
            <m:sty m:val="p"/>
          </m:rPr>
          <m:t>=</m:t>
        </m:r>
        <m:r>
          <m:t>0.95</m:t>
        </m:r>
      </m:oMath>
      <w:r>
        <w:t xml:space="preserve"> </w:t>
      </w:r>
      <w:r>
        <w:t xml:space="preserve">and</w:t>
      </w:r>
      <w:r>
        <w:t xml:space="preserve"> </w:t>
      </w:r>
      <m:oMath>
        <m:r>
          <m:t>k</m:t>
        </m:r>
        <m:r>
          <m:rPr>
            <m:sty m:val="p"/>
          </m:rPr>
          <m:t>=</m:t>
        </m:r>
        <m:r>
          <m:t>10</m:t>
        </m:r>
      </m:oMath>
      <w:r>
        <w:t xml:space="preserve">, compound reliability is</w:t>
      </w:r>
      <w:r>
        <w:t xml:space="preserve"> </w:t>
      </w:r>
      <m:oMath>
        <m:sSup>
          <m:e>
            <m:r>
              <m:t>0.95</m:t>
            </m:r>
          </m:e>
          <m:sup>
            <m:r>
              <m:t>10</m:t>
            </m:r>
          </m:sup>
        </m:sSup>
        <m:r>
          <m:rPr>
            <m:sty m:val="p"/>
          </m:rPr>
          <m:t>=</m:t>
        </m:r>
        <m:r>
          <m:t>0.599</m:t>
        </m:r>
      </m:oMath>
      <w:r>
        <w:t xml:space="preserve">.</w:t>
      </w:r>
      <w:r>
        <w:t xml:space="preserve"> </w:t>
      </w:r>
      <w:r>
        <w:t xml:space="preserve">At</w:t>
      </w:r>
      <w:r>
        <w:t xml:space="preserve"> </w:t>
      </w:r>
      <m:oMath>
        <m:r>
          <m:t>k</m:t>
        </m:r>
        <m:r>
          <m:rPr>
            <m:sty m:val="p"/>
          </m:rPr>
          <m:t>=</m:t>
        </m:r>
        <m:r>
          <m:t>20</m:t>
        </m:r>
      </m:oMath>
      <w:r>
        <w:t xml:space="preserve">, it drops to</w:t>
      </w:r>
      <w:r>
        <w:t xml:space="preserve"> </w:t>
      </w:r>
      <m:oMath>
        <m:sSup>
          <m:e>
            <m:r>
              <m:t>0.95</m:t>
            </m:r>
          </m:e>
          <m:sup>
            <m:r>
              <m:t>20</m:t>
            </m:r>
          </m:sup>
        </m:sSup>
        <m:r>
          <m:rPr>
            <m:sty m:val="p"/>
          </m:rPr>
          <m:t>=</m:t>
        </m:r>
        <m:r>
          <m:t>0.358</m:t>
        </m:r>
      </m:oMath>
      <w:r>
        <w:t xml:space="preserve">.</w:t>
      </w:r>
    </w:p>
    <w:p>
      <w:pPr>
        <w:pStyle w:val="BodyText"/>
      </w:pPr>
      <w:r>
        <w:t xml:space="preserve">This calculation assumes independence between steps—in practice, failures are often correlated, which can make compound reliability either better (correlated successes) or worse (cascading failures) than the independence assumption predicts.</w:t>
      </w:r>
      <w:r>
        <w:t xml:space="preserve"> </w:t>
      </w:r>
      <w:r>
        <w:t xml:space="preserve">The directional point holds regardless: per-step reliability requirements increase sharply with chain length.</w:t>
      </w:r>
    </w:p>
    <w:p>
      <w:pPr>
        <w:pStyle w:val="BodyText"/>
      </w:pPr>
      <w:r>
        <w:t xml:space="preserve">A system requiring 95% end-to-end reliability across a 10-step workflow needs 99.5% reliability per step.</w:t>
      </w:r>
      <w:r>
        <w:t xml:space="preserve"> </w:t>
      </w:r>
      <w:r>
        <w:t xml:space="preserve">The nine-layer architecture addresses this at three levels: per-step (Layers 1–4), per-decision-point (Layers 5–6), and per-system (Layers 7–9).</w:t>
      </w:r>
    </w:p>
    <w:bookmarkEnd w:id="60"/>
    <w:bookmarkStart w:id="62" w:name="sec:evaluation"/>
    <w:p>
      <w:pPr>
        <w:pStyle w:val="Heading1"/>
      </w:pPr>
      <w:r>
        <w:t xml:space="preserve">Evaluation: Evidence and Applicability</w:t>
      </w:r>
    </w:p>
    <w:bookmarkStart w:id="61" w:name="tab:evidence"/>
    <w:p>
      <w:pPr>
        <w:pStyle w:val="TableCaption"/>
      </w:pPr>
      <w:r>
        <w:t xml:space="preserve">Evidence ranking across the nine layers.</w:t>
      </w:r>
      <w:r>
        <w:t xml:space="preserve"> </w:t>
      </w:r>
      <w:r>
        <w:t xml:space="preserve">“</w:t>
      </w:r>
      <w:r>
        <w:t xml:space="preserve">Proven</w:t>
      </w:r>
      <w:r>
        <w:t xml:space="preserve">”</w:t>
      </w:r>
      <w:r>
        <w:t xml:space="preserve"> </w:t>
      </w:r>
      <w:r>
        <w:t xml:space="preserve">indicates a mathematical guarantee under stated assumptions.</w:t>
      </w:r>
      <w:r>
        <w:t xml:space="preserve"> </w:t>
      </w:r>
      <w:r>
        <w:t xml:space="preserve">“</w:t>
      </w:r>
      <w:r>
        <w:t xml:space="preserve">Established</w:t>
      </w:r>
      <w:r>
        <w:t xml:space="preserve">”</w:t>
      </w:r>
      <w:r>
        <w:t xml:space="preserve"> </w:t>
      </w:r>
      <w:r>
        <w:t xml:space="preserve">indicates standard practice.</w:t>
      </w:r>
      <w:r>
        <w:t xml:space="preserve"> </w:t>
      </w:r>
      <w:r>
        <w:t xml:space="preserve">“</w:t>
      </w:r>
      <w:r>
        <w:t xml:space="preserve">Empirical</w:t>
      </w:r>
      <w:r>
        <w:t xml:space="preserve">”</w:t>
      </w:r>
      <w:r>
        <w:t xml:space="preserve"> </w:t>
      </w:r>
      <w:r>
        <w:t xml:space="preserve">indicates practical effectiveness without formal optimality.</w:t>
      </w:r>
    </w:p>
    <w:tbl>
      <w:tblPr>
        <w:tblStyle w:val="Table"/>
        <w:tblW w:type="auto" w:w="0"/>
        <w:tblLook w:firstRow="1" w:lastRow="0" w:firstColumn="0" w:lastColumn="0" w:noHBand="0" w:noVBand="0" w:val="0020"/>
        <w:jc w:val="start"/>
        <w:tblCaption w:val="Evidence ranking across the nine layers. “Proven” indicates a mathematical guarantee under stated assumptions. “Established” indicates standard practice. “Empirical” indicates practical effectiveness without formal optimality."/>
      </w:tblPr>
      <w:tblGrid>
        <w:gridCol w:w="1584"/>
        <w:gridCol w:w="1584"/>
        <w:gridCol w:w="1584"/>
        <w:gridCol w:w="1584"/>
        <w:gridCol w:w="1584"/>
      </w:tblGrid>
      <w:tr>
        <w:trPr>
          <w:tblHeader w:val="true"/>
        </w:trPr>
        <w:tc>
          <w:tcPr/>
          <w:p>
            <w:pPr>
              <w:pStyle w:val="Compact"/>
              <w:jc w:val="center"/>
            </w:pPr>
            <w:r>
              <w:rPr>
                <w:bCs/>
                <w:b/>
              </w:rPr>
              <w:t xml:space="preserve">Layer</w:t>
            </w:r>
          </w:p>
        </w:tc>
        <w:tc>
          <w:tcPr/>
          <w:p>
            <w:pPr>
              <w:pStyle w:val="Compact"/>
              <w:jc w:val="left"/>
            </w:pPr>
            <w:r>
              <w:rPr>
                <w:bCs/>
                <w:b/>
              </w:rPr>
              <w:t xml:space="preserve">Technique</w:t>
            </w:r>
          </w:p>
        </w:tc>
        <w:tc>
          <w:tcPr/>
          <w:p>
            <w:pPr>
              <w:pStyle w:val="Compact"/>
              <w:jc w:val="left"/>
            </w:pPr>
            <w:r>
              <w:rPr>
                <w:bCs/>
                <w:b/>
              </w:rPr>
              <w:t xml:space="preserve">Evidence Level</w:t>
            </w:r>
          </w:p>
        </w:tc>
        <w:tc>
          <w:tcPr/>
          <w:p>
            <w:pPr>
              <w:pStyle w:val="Compact"/>
              <w:jc w:val="left"/>
            </w:pPr>
            <w:r>
              <w:rPr>
                <w:bCs/>
                <w:b/>
              </w:rPr>
              <w:t xml:space="preserve">Primary Limitation</w:t>
            </w:r>
          </w:p>
        </w:tc>
        <w:tc>
          <w:tcPr/>
          <w:p>
            <w:pPr>
              <w:pStyle w:val="Compact"/>
              <w:jc w:val="center"/>
            </w:pPr>
            <w:r>
              <w:rPr>
                <w:bCs/>
                <w:b/>
              </w:rPr>
              <w:t xml:space="preserve">Tests</w:t>
            </w:r>
          </w:p>
        </w:tc>
      </w:tr>
      <w:tr>
        <w:tc>
          <w:tcPr/>
          <w:p>
            <w:pPr>
              <w:pStyle w:val="Compact"/>
              <w:jc w:val="center"/>
            </w:pPr>
            <w:r>
              <w:t xml:space="preserve">04</w:t>
            </w:r>
          </w:p>
        </w:tc>
        <w:tc>
          <w:tcPr/>
          <w:p>
            <w:pPr>
              <w:pStyle w:val="Compact"/>
              <w:jc w:val="left"/>
            </w:pPr>
            <w:r>
              <w:t xml:space="preserve">Conformal Prediction</w:t>
            </w:r>
          </w:p>
        </w:tc>
        <w:tc>
          <w:tcPr/>
          <w:p>
            <w:pPr>
              <w:pStyle w:val="Compact"/>
              <w:jc w:val="left"/>
            </w:pPr>
            <w:r>
              <w:t xml:space="preserve">Proven (coverage guarantee)</w:t>
            </w:r>
          </w:p>
        </w:tc>
        <w:tc>
          <w:tcPr/>
          <w:p>
            <w:pPr>
              <w:pStyle w:val="Compact"/>
              <w:jc w:val="left"/>
            </w:pPr>
            <w:r>
              <w:t xml:space="preserve">Requires exchangeability</w:t>
            </w:r>
          </w:p>
        </w:tc>
        <w:tc>
          <w:tcPr/>
          <w:p>
            <w:pPr>
              <w:pStyle w:val="Compact"/>
              <w:jc w:val="center"/>
            </w:pPr>
            <w:r>
              <w:t xml:space="preserve">65</w:t>
            </w:r>
          </w:p>
        </w:tc>
      </w:tr>
      <w:tr>
        <w:tc>
          <w:tcPr/>
          <w:p>
            <w:pPr>
              <w:pStyle w:val="Compact"/>
              <w:jc w:val="center"/>
            </w:pPr>
            <w:r>
              <w:t xml:space="preserve">09</w:t>
            </w:r>
          </w:p>
        </w:tc>
        <w:tc>
          <w:tcPr/>
          <w:p>
            <w:pPr>
              <w:pStyle w:val="Compact"/>
              <w:jc w:val="left"/>
            </w:pPr>
            <w:r>
              <w:t xml:space="preserve">Formal Verification</w:t>
            </w:r>
          </w:p>
        </w:tc>
        <w:tc>
          <w:tcPr/>
          <w:p>
            <w:pPr>
              <w:pStyle w:val="Compact"/>
              <w:jc w:val="left"/>
            </w:pPr>
            <w:r>
              <w:t xml:space="preserve">Proven (SMT proof)</w:t>
            </w:r>
          </w:p>
        </w:tc>
        <w:tc>
          <w:tcPr/>
          <w:p>
            <w:pPr>
              <w:pStyle w:val="Compact"/>
              <w:jc w:val="left"/>
            </w:pPr>
            <w:r>
              <w:t xml:space="preserve">State-space explosion</w:t>
            </w:r>
          </w:p>
        </w:tc>
        <w:tc>
          <w:tcPr/>
          <w:p>
            <w:pPr>
              <w:pStyle w:val="Compact"/>
              <w:jc w:val="center"/>
            </w:pPr>
            <w:r>
              <w:t xml:space="preserve">Z3</w:t>
            </w:r>
          </w:p>
        </w:tc>
      </w:tr>
      <w:tr>
        <w:tc>
          <w:tcPr/>
          <w:p>
            <w:pPr>
              <w:pStyle w:val="Compact"/>
              <w:jc w:val="center"/>
            </w:pPr>
            <w:r>
              <w:t xml:space="preserve">02</w:t>
            </w:r>
          </w:p>
        </w:tc>
        <w:tc>
          <w:tcPr/>
          <w:p>
            <w:pPr>
              <w:pStyle w:val="Compact"/>
              <w:jc w:val="left"/>
            </w:pPr>
            <w:r>
              <w:t xml:space="preserve">Outlier Detection</w:t>
            </w:r>
          </w:p>
        </w:tc>
        <w:tc>
          <w:tcPr/>
          <w:p>
            <w:pPr>
              <w:pStyle w:val="Compact"/>
              <w:jc w:val="left"/>
            </w:pPr>
            <w:r>
              <w:t xml:space="preserve">Established (Tukey IQR)</w:t>
            </w:r>
          </w:p>
        </w:tc>
        <w:tc>
          <w:tcPr/>
          <w:p>
            <w:pPr>
              <w:pStyle w:val="Compact"/>
              <w:jc w:val="left"/>
            </w:pPr>
            <w:r>
              <w:t xml:space="preserve">Blunt for heavy tails</w:t>
            </w:r>
          </w:p>
        </w:tc>
        <w:tc>
          <w:tcPr/>
          <w:p>
            <w:pPr>
              <w:pStyle w:val="Compact"/>
              <w:jc w:val="center"/>
            </w:pPr>
            <w:r>
              <w:t xml:space="preserve">44</w:t>
            </w:r>
          </w:p>
        </w:tc>
      </w:tr>
      <w:tr>
        <w:tc>
          <w:tcPr/>
          <w:p>
            <w:pPr>
              <w:pStyle w:val="Compact"/>
              <w:jc w:val="center"/>
            </w:pPr>
            <w:r>
              <w:t xml:space="preserve">08</w:t>
            </w:r>
          </w:p>
        </w:tc>
        <w:tc>
          <w:tcPr/>
          <w:p>
            <w:pPr>
              <w:pStyle w:val="Compact"/>
              <w:jc w:val="left"/>
            </w:pPr>
            <w:r>
              <w:t xml:space="preserve">Audit Trails</w:t>
            </w:r>
          </w:p>
        </w:tc>
        <w:tc>
          <w:tcPr/>
          <w:p>
            <w:pPr>
              <w:pStyle w:val="Compact"/>
              <w:jc w:val="left"/>
            </w:pPr>
            <w:r>
              <w:t xml:space="preserve">Established (SHA-256, C2PA)</w:t>
            </w:r>
          </w:p>
        </w:tc>
        <w:tc>
          <w:tcPr/>
          <w:p>
            <w:pPr>
              <w:pStyle w:val="Compact"/>
              <w:jc w:val="left"/>
            </w:pPr>
            <w:r>
              <w:t xml:space="preserve">Provenance</w:t>
            </w:r>
            <w:r>
              <w:t xml:space="preserve"> </w:t>
            </w:r>
            <m:oMath>
              <m:r>
                <m:rPr>
                  <m:sty m:val="p"/>
                </m:rPr>
                <m:t>≠</m:t>
              </m:r>
            </m:oMath>
            <w:r>
              <w:t xml:space="preserve"> </w:t>
            </w:r>
            <w:r>
              <w:t xml:space="preserve">truth</w:t>
            </w:r>
          </w:p>
        </w:tc>
        <w:tc>
          <w:tcPr/>
          <w:p>
            <w:pPr>
              <w:pStyle w:val="Compact"/>
              <w:jc w:val="center"/>
            </w:pPr>
            <w:r>
              <w:t xml:space="preserve">69</w:t>
            </w:r>
          </w:p>
        </w:tc>
      </w:tr>
      <w:tr>
        <w:tc>
          <w:tcPr/>
          <w:p>
            <w:pPr>
              <w:pStyle w:val="Compact"/>
              <w:jc w:val="center"/>
            </w:pPr>
            <w:r>
              <w:t xml:space="preserve">01</w:t>
            </w:r>
          </w:p>
        </w:tc>
        <w:tc>
          <w:tcPr/>
          <w:p>
            <w:pPr>
              <w:pStyle w:val="Compact"/>
              <w:jc w:val="left"/>
            </w:pPr>
            <w:r>
              <w:t xml:space="preserve">Confidence Weighting</w:t>
            </w:r>
          </w:p>
        </w:tc>
        <w:tc>
          <w:tcPr/>
          <w:p>
            <w:pPr>
              <w:pStyle w:val="Compact"/>
              <w:jc w:val="left"/>
            </w:pPr>
            <w:r>
              <w:t xml:space="preserve">Empirical (production code)</w:t>
            </w:r>
          </w:p>
        </w:tc>
        <w:tc>
          <w:tcPr/>
          <w:p>
            <w:pPr>
              <w:pStyle w:val="Compact"/>
              <w:jc w:val="left"/>
            </w:pPr>
            <w:r>
              <w:t xml:space="preserve">Assumes equal importance</w:t>
            </w:r>
          </w:p>
        </w:tc>
        <w:tc>
          <w:tcPr/>
          <w:p>
            <w:pPr>
              <w:pStyle w:val="Compact"/>
              <w:jc w:val="center"/>
            </w:pPr>
            <w:r>
              <w:t xml:space="preserve">31</w:t>
            </w:r>
          </w:p>
        </w:tc>
      </w:tr>
      <w:tr>
        <w:tc>
          <w:tcPr/>
          <w:p>
            <w:pPr>
              <w:pStyle w:val="Compact"/>
              <w:jc w:val="center"/>
            </w:pPr>
            <w:r>
              <w:t xml:space="preserve">05</w:t>
            </w:r>
          </w:p>
        </w:tc>
        <w:tc>
          <w:tcPr/>
          <w:p>
            <w:pPr>
              <w:pStyle w:val="Compact"/>
              <w:jc w:val="left"/>
            </w:pPr>
            <w:r>
              <w:t xml:space="preserve">Guardrails</w:t>
            </w:r>
          </w:p>
        </w:tc>
        <w:tc>
          <w:tcPr/>
          <w:p>
            <w:pPr>
              <w:pStyle w:val="Compact"/>
              <w:jc w:val="left"/>
            </w:pPr>
            <w:r>
              <w:t xml:space="preserve">Architectural (standard pattern)</w:t>
            </w:r>
          </w:p>
        </w:tc>
        <w:tc>
          <w:tcPr/>
          <w:p>
            <w:pPr>
              <w:pStyle w:val="Compact"/>
              <w:jc w:val="left"/>
            </w:pPr>
            <w:r>
              <w:t xml:space="preserve">Policy debt accumulates</w:t>
            </w:r>
          </w:p>
        </w:tc>
        <w:tc>
          <w:tcPr/>
          <w:p>
            <w:pPr>
              <w:pStyle w:val="Compact"/>
              <w:jc w:val="center"/>
            </w:pPr>
            <w:r>
              <w:t xml:space="preserve">98</w:t>
            </w:r>
          </w:p>
        </w:tc>
      </w:tr>
      <w:tr>
        <w:tc>
          <w:tcPr/>
          <w:p>
            <w:pPr>
              <w:pStyle w:val="Compact"/>
              <w:jc w:val="center"/>
            </w:pPr>
            <w:r>
              <w:t xml:space="preserve">03</w:t>
            </w:r>
          </w:p>
        </w:tc>
        <w:tc>
          <w:tcPr/>
          <w:p>
            <w:pPr>
              <w:pStyle w:val="Compact"/>
              <w:jc w:val="left"/>
            </w:pPr>
            <w:r>
              <w:t xml:space="preserve">Visible Failures</w:t>
            </w:r>
          </w:p>
        </w:tc>
        <w:tc>
          <w:tcPr/>
          <w:p>
            <w:pPr>
              <w:pStyle w:val="Compact"/>
              <w:jc w:val="left"/>
            </w:pPr>
            <w:r>
              <w:t xml:space="preserve">Empirical (entropy heuristic)</w:t>
            </w:r>
          </w:p>
        </w:tc>
        <w:tc>
          <w:tcPr/>
          <w:p>
            <w:pPr>
              <w:pStyle w:val="Compact"/>
              <w:jc w:val="left"/>
            </w:pPr>
            <w:r>
              <w:t xml:space="preserve">Requires reviewer capacity</w:t>
            </w:r>
          </w:p>
        </w:tc>
        <w:tc>
          <w:tcPr/>
          <w:p>
            <w:pPr>
              <w:pStyle w:val="Compact"/>
              <w:jc w:val="center"/>
            </w:pPr>
            <w:r>
              <w:t xml:space="preserve">45</w:t>
            </w:r>
          </w:p>
        </w:tc>
      </w:tr>
      <w:tr>
        <w:tc>
          <w:tcPr/>
          <w:p>
            <w:pPr>
              <w:pStyle w:val="Compact"/>
              <w:jc w:val="center"/>
            </w:pPr>
            <w:r>
              <w:t xml:space="preserve">06</w:t>
            </w:r>
          </w:p>
        </w:tc>
        <w:tc>
          <w:tcPr/>
          <w:p>
            <w:pPr>
              <w:pStyle w:val="Compact"/>
              <w:jc w:val="left"/>
            </w:pPr>
            <w:r>
              <w:t xml:space="preserve">RAG Explainability</w:t>
            </w:r>
          </w:p>
        </w:tc>
        <w:tc>
          <w:tcPr/>
          <w:p>
            <w:pPr>
              <w:pStyle w:val="Compact"/>
              <w:jc w:val="left"/>
            </w:pPr>
            <w:r>
              <w:t xml:space="preserve">Empirical (groundedness check)</w:t>
            </w:r>
          </w:p>
        </w:tc>
        <w:tc>
          <w:tcPr/>
          <w:p>
            <w:pPr>
              <w:pStyle w:val="Compact"/>
              <w:jc w:val="left"/>
            </w:pPr>
            <w:r>
              <w:t xml:space="preserve">Source quality dependent</w:t>
            </w:r>
          </w:p>
        </w:tc>
        <w:tc>
          <w:tcPr/>
          <w:p>
            <w:pPr>
              <w:pStyle w:val="Compact"/>
              <w:jc w:val="center"/>
            </w:pPr>
            <w:r>
              <w:t xml:space="preserve">61</w:t>
            </w:r>
          </w:p>
        </w:tc>
      </w:tr>
      <w:tr>
        <w:tc>
          <w:tcPr/>
          <w:p>
            <w:pPr>
              <w:pStyle w:val="Compact"/>
              <w:jc w:val="center"/>
            </w:pPr>
            <w:r>
              <w:t xml:space="preserve">07</w:t>
            </w:r>
          </w:p>
        </w:tc>
        <w:tc>
          <w:tcPr/>
          <w:p>
            <w:pPr>
              <w:pStyle w:val="Compact"/>
              <w:jc w:val="left"/>
            </w:pPr>
            <w:r>
              <w:t xml:space="preserve">Adversarial Testing</w:t>
            </w:r>
          </w:p>
        </w:tc>
        <w:tc>
          <w:tcPr/>
          <w:p>
            <w:pPr>
              <w:pStyle w:val="Compact"/>
              <w:jc w:val="left"/>
            </w:pPr>
            <w:r>
              <w:t xml:space="preserve">Necessary but insufficient</w:t>
            </w:r>
          </w:p>
        </w:tc>
        <w:tc>
          <w:tcPr/>
          <w:p>
            <w:pPr>
              <w:pStyle w:val="Compact"/>
              <w:jc w:val="left"/>
            </w:pPr>
            <w:r>
              <w:t xml:space="preserve">Cannot prove absence</w:t>
            </w:r>
          </w:p>
        </w:tc>
        <w:tc>
          <w:tcPr/>
          <w:p>
            <w:pPr>
              <w:pStyle w:val="Compact"/>
              <w:jc w:val="center"/>
            </w:pPr>
            <w:r>
              <w:t xml:space="preserve">62</w:t>
            </w:r>
          </w:p>
        </w:tc>
      </w:tr>
      <w:tr>
        <w:tc>
          <w:tcPr/>
          <w:p>
            <w:pPr>
              <w:pStyle w:val="Compact"/>
            </w:pPr>
          </w:p>
        </w:tc>
        <w:tc>
          <w:tcPr/>
          <w:p>
            <w:pPr>
              <w:pStyle w:val="Compact"/>
              <w:jc w:val="left"/>
            </w:pPr>
            <w:r>
              <w:rPr>
                <w:bCs/>
                <w:b/>
              </w:rPr>
              <w:t xml:space="preserve">Total</w:t>
            </w:r>
          </w:p>
        </w:tc>
        <w:tc>
          <w:tcPr/>
          <w:p>
            <w:pPr>
              <w:pStyle w:val="Compact"/>
            </w:pPr>
          </w:p>
        </w:tc>
        <w:tc>
          <w:tcPr/>
          <w:p>
            <w:pPr>
              <w:pStyle w:val="Compact"/>
            </w:pPr>
          </w:p>
        </w:tc>
        <w:tc>
          <w:tcPr/>
          <w:p>
            <w:pPr>
              <w:pStyle w:val="Compact"/>
              <w:jc w:val="center"/>
            </w:pPr>
            <w:r>
              <w:rPr>
                <w:bCs/>
                <w:b/>
              </w:rPr>
              <w:t xml:space="preserve">475</w:t>
            </w:r>
          </w:p>
        </w:tc>
      </w:tr>
    </w:tbl>
    <w:bookmarkEnd w:id="61"/>
    <w:bookmarkEnd w:id="62"/>
    <w:bookmarkStart w:id="64" w:name="sec:methodology"/>
    <w:p>
      <w:pPr>
        <w:pStyle w:val="Heading1"/>
      </w:pPr>
      <w:r>
        <w:t xml:space="preserve">Implementation Methodology</w:t>
      </w:r>
    </w:p>
    <w:p>
      <w:pPr>
        <w:pStyle w:val="FirstParagraph"/>
      </w:pPr>
      <w:r>
        <w:t xml:space="preserve">All nine layers are implemented as self-contained Python packages in the Verified Autonomy repository.</w:t>
      </w:r>
      <w:r>
        <w:rPr>
          <w:rStyle w:val="FootnoteReference"/>
        </w:rPr>
        <w:footnoteReference w:id="63"/>
      </w:r>
      <w:r>
        <w:t xml:space="preserve"> </w:t>
      </w:r>
      <w:r>
        <w:t xml:space="preserve">Each implementation runs in isolation with a single command (</w:t>
      </w:r>
      <w:r>
        <w:rPr>
          <w:rStyle w:val="VerbatimChar"/>
        </w:rPr>
        <w:t xml:space="preserve">make run</w:t>
      </w:r>
      <w:r>
        <w:t xml:space="preserve">), with no cross-layer dependencies.</w:t>
      </w:r>
    </w:p>
    <w:p>
      <w:pPr>
        <w:pStyle w:val="BodyText"/>
      </w:pPr>
      <w:r>
        <w:t xml:space="preserve">Code quality standards enforce a 90% test coverage floor with mandatory edge-case, corner-case, and failure-mode tests.</w:t>
      </w:r>
      <w:r>
        <w:t xml:space="preserve"> </w:t>
      </w:r>
      <w:r>
        <w:t xml:space="preserve">Test names must describe the scenario being tested, not the function being called.</w:t>
      </w:r>
      <w:r>
        <w:t xml:space="preserve"> </w:t>
      </w:r>
      <w:r>
        <w:t xml:space="preserve">All code is typed (Python type hints throughout) with docstrings on all public functions.</w:t>
      </w:r>
      <w:r>
        <w:t xml:space="preserve"> </w:t>
      </w:r>
      <w:r>
        <w:t xml:space="preserve">No mocking of the system under test is permitted—only external dependencies may be mocked.</w:t>
      </w:r>
    </w:p>
    <w:p>
      <w:pPr>
        <w:pStyle w:val="BodyText"/>
      </w:pPr>
      <w:r>
        <w:t xml:space="preserve">Layers 01–03 and 05, 07, 08 require zero runtime dependencies (Python standard library only).</w:t>
      </w:r>
      <w:r>
        <w:t xml:space="preserve"> </w:t>
      </w:r>
      <w:r>
        <w:t xml:space="preserve">Layer 04 requires NumPy, scikit-learn, and SciPy for classifier training and optimisation.</w:t>
      </w:r>
      <w:r>
        <w:t xml:space="preserve"> </w:t>
      </w:r>
      <w:r>
        <w:t xml:space="preserve">Layer 06 requires NumPy and scikit-learn for TF-IDF retrieval.</w:t>
      </w:r>
      <w:r>
        <w:t xml:space="preserve"> </w:t>
      </w:r>
      <w:r>
        <w:t xml:space="preserve">Layer 09 requires NumPy and the Z3 SMT solver for formal verification proofs.</w:t>
      </w:r>
      <w:r>
        <w:t xml:space="preserve"> </w:t>
      </w:r>
      <w:r>
        <w:t xml:space="preserve">Dependency decisions are documented in Architecture Decision Records (ADRs) in the repository.</w:t>
      </w:r>
    </w:p>
    <w:p>
      <w:pPr>
        <w:pStyle w:val="BodyText"/>
      </w:pPr>
      <w:r>
        <w:t xml:space="preserve">Layers 01–03 are generalised from production code in the</w:t>
      </w:r>
      <w:r>
        <w:t xml:space="preserve"> </w:t>
      </w:r>
      <w:r>
        <w:rPr>
          <w:rStyle w:val="VerbatimChar"/>
        </w:rPr>
        <w:t xml:space="preserve">agent-task-planning</w:t>
      </w:r>
      <w:r>
        <w:t xml:space="preserve"> </w:t>
      </w:r>
      <w:r>
        <w:t xml:space="preserve">package of the PDA Platform</w:t>
      </w:r>
      <w:r>
        <w:t xml:space="preserve"> </w:t>
      </w:r>
      <w:r>
        <w:t xml:space="preserve">(Newman 2026)</w:t>
      </w:r>
      <w:r>
        <w:t xml:space="preserve">, where they were originally deployed for AI-assisted project management data processing.</w:t>
      </w:r>
      <w:r>
        <w:t xml:space="preserve"> </w:t>
      </w:r>
      <w:r>
        <w:t xml:space="preserve">Layers 04–09 are reference implementations built from scratch, with algorithms implemented transparently rather than delegated to external libraries (e.g., conformal prediction is implemented directly rather than using MAPIE).</w:t>
      </w:r>
    </w:p>
    <w:bookmarkEnd w:id="64"/>
    <w:bookmarkStart w:id="70" w:name="sec:threats"/>
    <w:p>
      <w:pPr>
        <w:pStyle w:val="Heading1"/>
      </w:pPr>
      <w:r>
        <w:t xml:space="preserve">Threats to Validity</w:t>
      </w:r>
    </w:p>
    <w:bookmarkStart w:id="65" w:name="selection-bias."/>
    <w:p>
      <w:pPr>
        <w:pStyle w:val="Heading4"/>
      </w:pPr>
      <w:r>
        <w:t xml:space="preserve">Selection bias.</w:t>
      </w:r>
    </w:p>
    <w:p>
      <w:pPr>
        <w:pStyle w:val="FirstParagraph"/>
      </w:pPr>
      <w:r>
        <w:t xml:space="preserve">The nine-layer structure emerged from a practitioner survey across four domains (aviation, healthcare, finance, live media) rather than a systematic literature review.</w:t>
      </w:r>
      <w:r>
        <w:t xml:space="preserve"> </w:t>
      </w:r>
      <w:r>
        <w:t xml:space="preserve">Techniques that are effective but not widely deployed in these domains may be absent.</w:t>
      </w:r>
      <w:r>
        <w:t xml:space="preserve"> </w:t>
      </w:r>
      <w:r>
        <w:t xml:space="preserve">The framework is designed to be extensible—the repository accepts community contributions of additional layers.</w:t>
      </w:r>
    </w:p>
    <w:bookmarkEnd w:id="65"/>
    <w:bookmarkStart w:id="66" w:name="Xb876e7081f1ff9fca87450c927fd38d005a20d9"/>
    <w:p>
      <w:pPr>
        <w:pStyle w:val="Heading4"/>
      </w:pPr>
      <w:r>
        <w:t xml:space="preserve">Reference vs. production implementations.</w:t>
      </w:r>
    </w:p>
    <w:p>
      <w:pPr>
        <w:pStyle w:val="FirstParagraph"/>
      </w:pPr>
      <w:r>
        <w:t xml:space="preserve">Layers 01–03 derive from production code.</w:t>
      </w:r>
      <w:r>
        <w:t xml:space="preserve"> </w:t>
      </w:r>
      <w:r>
        <w:t xml:space="preserve">Layers 04–09 are reference implementations using synthetic data or simplified scenarios.</w:t>
      </w:r>
      <w:r>
        <w:t xml:space="preserve"> </w:t>
      </w:r>
      <w:r>
        <w:t xml:space="preserve">The implementations demonstrate the techniques and architectural patterns but have not been validated at production scale for all nine layers.</w:t>
      </w:r>
    </w:p>
    <w:bookmarkEnd w:id="66"/>
    <w:bookmarkStart w:id="67" w:name="compound-reliability-assumptions."/>
    <w:p>
      <w:pPr>
        <w:pStyle w:val="Heading4"/>
      </w:pPr>
      <w:r>
        <w:t xml:space="preserve">Compound reliability assumptions.</w:t>
      </w:r>
    </w:p>
    <w:p>
      <w:pPr>
        <w:pStyle w:val="FirstParagraph"/>
      </w:pPr>
      <w:r>
        <w:t xml:space="preserve">The compound reliability analysis () assumes independence between workflow steps.</w:t>
      </w:r>
      <w:r>
        <w:t xml:space="preserve"> </w:t>
      </w:r>
      <w:r>
        <w:t xml:space="preserve">In practice, step failures are often correlated—a data quality issue may cause cascading failures across multiple steps.</w:t>
      </w:r>
      <w:r>
        <w:t xml:space="preserve"> </w:t>
      </w:r>
      <w:r>
        <w:t xml:space="preserve">The analysis illustrates the directional argument (compound reliability degrades with chain length) rather than providing precise predictions for specific workflows.</w:t>
      </w:r>
    </w:p>
    <w:bookmarkEnd w:id="67"/>
    <w:bookmarkStart w:id="68" w:name="evidence-table-ranking."/>
    <w:p>
      <w:pPr>
        <w:pStyle w:val="Heading4"/>
      </w:pPr>
      <w:r>
        <w:t xml:space="preserve">Evidence table ranking.</w:t>
      </w:r>
    </w:p>
    <w:p>
      <w:pPr>
        <w:pStyle w:val="FirstParagraph"/>
      </w:pPr>
      <w:r>
        <w:t xml:space="preserve">The evidence ranking in combines different categories of evidence (mathematical proofs, standard statistical methods, empirical heuristics, architectural patterns) into a single ordering.</w:t>
      </w:r>
      <w:r>
        <w:t xml:space="preserve"> </w:t>
      </w:r>
      <w:r>
        <w:t xml:space="preserve">Reasonable practitioners may disagree about the relative ranking of</w:t>
      </w:r>
      <w:r>
        <w:t xml:space="preserve"> </w:t>
      </w:r>
      <w:r>
        <w:t xml:space="preserve">“</w:t>
      </w:r>
      <w:r>
        <w:t xml:space="preserve">Established</w:t>
      </w:r>
      <w:r>
        <w:t xml:space="preserve">”</w:t>
      </w:r>
      <w:r>
        <w:t xml:space="preserve"> </w:t>
      </w:r>
      <w:r>
        <w:t xml:space="preserve">versus</w:t>
      </w:r>
      <w:r>
        <w:t xml:space="preserve"> </w:t>
      </w:r>
      <w:r>
        <w:t xml:space="preserve">“</w:t>
      </w:r>
      <w:r>
        <w:t xml:space="preserve">Empirical</w:t>
      </w:r>
      <w:r>
        <w:t xml:space="preserve">”</w:t>
      </w:r>
      <w:r>
        <w:t xml:space="preserve"> </w:t>
      </w:r>
      <w:r>
        <w:t xml:space="preserve">techniques.</w:t>
      </w:r>
      <w:r>
        <w:t xml:space="preserve"> </w:t>
      </w:r>
      <w:r>
        <w:t xml:space="preserve">The table is intended as a communication tool, not a definitive hierarchy.</w:t>
      </w:r>
    </w:p>
    <w:bookmarkEnd w:id="68"/>
    <w:bookmarkStart w:id="69" w:name="nine-layer-completeness."/>
    <w:p>
      <w:pPr>
        <w:pStyle w:val="Heading4"/>
      </w:pPr>
      <w:r>
        <w:t xml:space="preserve">Nine-layer completeness.</w:t>
      </w:r>
    </w:p>
    <w:p>
      <w:pPr>
        <w:pStyle w:val="FirstParagraph"/>
      </w:pPr>
      <w:r>
        <w:t xml:space="preserve">The framework does not claim completeness.</w:t>
      </w:r>
      <w:r>
        <w:t xml:space="preserve"> </w:t>
      </w:r>
      <w:r>
        <w:t xml:space="preserve">Techniques such as model interpretability (SHAP, LIME), differential privacy, federated learning, and human-in-the-loop design address trust-adjacent concerns not covered by the nine layers.</w:t>
      </w:r>
      <w:r>
        <w:t xml:space="preserve"> </w:t>
      </w:r>
      <w:r>
        <w:t xml:space="preserve">The framework addresses trust engineering at the system architecture level; model-level and data-level techniques are complementary but out of scope.</w:t>
      </w:r>
    </w:p>
    <w:bookmarkEnd w:id="69"/>
    <w:bookmarkEnd w:id="70"/>
    <w:bookmarkStart w:id="71" w:name="sec:conclusion"/>
    <w:p>
      <w:pPr>
        <w:pStyle w:val="Heading1"/>
      </w:pPr>
      <w:r>
        <w:t xml:space="preserve">Conclusion</w:t>
      </w:r>
    </w:p>
    <w:p>
      <w:pPr>
        <w:pStyle w:val="FirstParagraph"/>
      </w:pPr>
      <w:r>
        <w:t xml:space="preserve">This paper has presented Verified Autonomy, a nine-layer defence-in-depth framework for engineering trust in AI systems.</w:t>
      </w:r>
      <w:r>
        <w:t xml:space="preserve"> </w:t>
      </w:r>
      <w:r>
        <w:t xml:space="preserve">Each layer addresses a specific failure mode.</w:t>
      </w:r>
      <w:r>
        <w:t xml:space="preserve"> </w:t>
      </w:r>
      <w:r>
        <w:t xml:space="preserve">Each layer’s limitations are compensated by other layers in the architecture.</w:t>
      </w:r>
      <w:r>
        <w:t xml:space="preserve"> </w:t>
      </w:r>
      <w:r>
        <w:t xml:space="preserve">The Integrity Clash vulnerability</w:t>
      </w:r>
      <w:r>
        <w:t xml:space="preserve"> </w:t>
      </w:r>
      <w:r>
        <w:t xml:space="preserve">(Nemecek et al. 2026)</w:t>
      </w:r>
      <w:r>
        <w:t xml:space="preserve"> </w:t>
      </w:r>
      <w:r>
        <w:t xml:space="preserve">demonstrates concretely why single-layer approaches fail: independent verification layers that do not cross-validate each other create exploitable gaps.</w:t>
      </w:r>
    </w:p>
    <w:p>
      <w:pPr>
        <w:pStyle w:val="BodyText"/>
      </w:pPr>
      <w:r>
        <w:t xml:space="preserve">The framework is accompanied by open-source reference implementations for all nine layers—475 tests at 98–100% coverage, each runnable in isolation—available at</w:t>
      </w:r>
      <w:r>
        <w:t xml:space="preserve"> </w:t>
      </w:r>
      <w:hyperlink r:id="rId21">
        <w:r>
          <w:rPr>
            <w:rStyle w:val="Hyperlink"/>
          </w:rPr>
          <w:t xml:space="preserve">https://github.com/antnewman/verified-autonomy</w:t>
        </w:r>
      </w:hyperlink>
      <w:r>
        <w:t xml:space="preserve">.</w:t>
      </w:r>
      <w:r>
        <w:t xml:space="preserve"> </w:t>
      </w:r>
      <w:r>
        <w:t xml:space="preserve">The code is the argument.</w:t>
      </w:r>
    </w:p>
    <w:p>
      <w:pPr>
        <w:pStyle w:val="BodyText"/>
      </w:pPr>
      <w:r>
        <w:t xml:space="preserve">Trust is built not by making the system more confident, but by making it more honest about where it is not.</w:t>
      </w:r>
    </w:p>
    <w:bookmarkEnd w:id="71"/>
    <w:bookmarkStart w:id="115" w:name="acknowledgements"/>
    <w:p>
      <w:pPr>
        <w:pStyle w:val="Heading1"/>
      </w:pPr>
      <w:r>
        <w:t xml:space="preserve">Acknowledgements</w:t>
      </w:r>
    </w:p>
    <w:p>
      <w:pPr>
        <w:pStyle w:val="FirstParagraph"/>
      </w:pPr>
      <w:r>
        <w:t xml:space="preserve">Technical reviewer: Malia Hosseini.</w:t>
      </w:r>
      <w:r>
        <w:t xml:space="preserve"> </w:t>
      </w:r>
      <w:r>
        <w:t xml:space="preserve">This collaboration originated from the Not Another AI podcast (Austin, Texas, 2026); the authors thank Piyanka Jain for creating the context that made this work possible.</w:t>
      </w:r>
      <w:r>
        <w:t xml:space="preserve"> </w:t>
      </w:r>
      <w:r>
        <w:t xml:space="preserve">Lawrence Rowland contributed the requirements and conceptual design for the confidence extraction and outlier mining capabilities in Layers 01–03.</w:t>
      </w:r>
    </w:p>
    <w:bookmarkStart w:id="114" w:name="refs"/>
    <w:bookmarkStart w:id="73" w:name="ref-alvarsson2021predicting"/>
    <w:p>
      <w:pPr>
        <w:pStyle w:val="Bibliography"/>
      </w:pPr>
      <w:r>
        <w:t xml:space="preserve">Alvarsson, Jonathan, Staffan Arvidsson McShane, Ulf Norinder, and Ola Spjuth. 2021.</w:t>
      </w:r>
      <w:r>
        <w:t xml:space="preserve"> </w:t>
      </w:r>
      <w:r>
        <w:t xml:space="preserve">“Predicting with Confidence: Using Conformal Prediction in Drug Discovery.”</w:t>
      </w:r>
      <w:r>
        <w:t xml:space="preserve"> </w:t>
      </w:r>
      <w:r>
        <w:rPr>
          <w:iCs/>
          <w:i/>
        </w:rPr>
        <w:t xml:space="preserve">Journal of Pharmaceutical Sciences</w:t>
      </w:r>
      <w:r>
        <w:t xml:space="preserve"> </w:t>
      </w:r>
      <w:r>
        <w:t xml:space="preserve">110 (1): 42–49.</w:t>
      </w:r>
      <w:r>
        <w:t xml:space="preserve"> </w:t>
      </w:r>
      <w:hyperlink r:id="rId72">
        <w:r>
          <w:rPr>
            <w:rStyle w:val="Hyperlink"/>
          </w:rPr>
          <w:t xml:space="preserve">https://doi.org/10.1016/j.xphs.2020.09.055</w:t>
        </w:r>
      </w:hyperlink>
      <w:r>
        <w:t xml:space="preserve">.</w:t>
      </w:r>
    </w:p>
    <w:bookmarkEnd w:id="73"/>
    <w:bookmarkStart w:id="75" w:name="ref-angelopoulos2023gentle"/>
    <w:p>
      <w:pPr>
        <w:pStyle w:val="Bibliography"/>
      </w:pPr>
      <w:r>
        <w:t xml:space="preserve">Angelopoulos, Anastasios N., and Stephen Bates. 2023.</w:t>
      </w:r>
      <w:r>
        <w:t xml:space="preserve"> </w:t>
      </w:r>
      <w:r>
        <w:t xml:space="preserve">“Conformal Prediction: A Gentle Introduction.”</w:t>
      </w:r>
      <w:r>
        <w:t xml:space="preserve"> </w:t>
      </w:r>
      <w:r>
        <w:rPr>
          <w:iCs/>
          <w:i/>
        </w:rPr>
        <w:t xml:space="preserve">Foundations and Trends in Machine Learning</w:t>
      </w:r>
      <w:r>
        <w:t xml:space="preserve"> </w:t>
      </w:r>
      <w:r>
        <w:t xml:space="preserve">16 (4): 494–591.</w:t>
      </w:r>
      <w:r>
        <w:t xml:space="preserve"> </w:t>
      </w:r>
      <w:hyperlink r:id="rId74">
        <w:r>
          <w:rPr>
            <w:rStyle w:val="Hyperlink"/>
          </w:rPr>
          <w:t xml:space="preserve">https://doi.org/10.1561/2200000101</w:t>
        </w:r>
      </w:hyperlink>
      <w:r>
        <w:t xml:space="preserve">.</w:t>
      </w:r>
    </w:p>
    <w:bookmarkEnd w:id="75"/>
    <w:bookmarkStart w:id="76" w:name="ref-bai2022constitutional"/>
    <w:p>
      <w:pPr>
        <w:pStyle w:val="Bibliography"/>
      </w:pPr>
      <w:r>
        <w:t xml:space="preserve">Bai, Yuntao, Saurav Kadavath, Sandipan Kundu, Amanda Askell, Jackson Kernion, Andy Jones, Anna Chen, et al. 2022.</w:t>
      </w:r>
      <w:r>
        <w:t xml:space="preserve"> </w:t>
      </w:r>
      <w:r>
        <w:t xml:space="preserve">“Constitutional</w:t>
      </w:r>
      <w:r>
        <w:t xml:space="preserve"> </w:t>
      </w:r>
      <w:r>
        <w:t xml:space="preserve">AI</w:t>
      </w:r>
      <w:r>
        <w:t xml:space="preserve">: Harmlessness from</w:t>
      </w:r>
      <w:r>
        <w:t xml:space="preserve"> </w:t>
      </w:r>
      <w:r>
        <w:t xml:space="preserve">AI</w:t>
      </w:r>
      <w:r>
        <w:t xml:space="preserve"> </w:t>
      </w:r>
      <w:r>
        <w:t xml:space="preserve">Feedback.”</w:t>
      </w:r>
      <w:r>
        <w:t xml:space="preserve"> </w:t>
      </w:r>
      <w:r>
        <w:rPr>
          <w:iCs/>
          <w:i/>
        </w:rPr>
        <w:t xml:space="preserve">arXiv Preprint</w:t>
      </w:r>
      <w:r>
        <w:t xml:space="preserve">.</w:t>
      </w:r>
    </w:p>
    <w:bookmarkEnd w:id="76"/>
    <w:bookmarkStart w:id="77" w:name="ref-bowman2022measuring"/>
    <w:p>
      <w:pPr>
        <w:pStyle w:val="Bibliography"/>
      </w:pPr>
      <w:r>
        <w:t xml:space="preserve">Bowman, Samuel R., Jeeyoon Hyun, Ethan Perez, Edwin Chen, Craig Pettit, Scott Heiner, Kamile Lukosuite, et al. 2022.</w:t>
      </w:r>
      <w:r>
        <w:t xml:space="preserve"> </w:t>
      </w:r>
      <w:r>
        <w:t xml:space="preserve">“Measuring Progress on Scalable Oversight for Large Language Models.”</w:t>
      </w:r>
      <w:r>
        <w:t xml:space="preserve"> </w:t>
      </w:r>
      <w:r>
        <w:rPr>
          <w:iCs/>
          <w:i/>
        </w:rPr>
        <w:t xml:space="preserve">arXiv Preprint</w:t>
      </w:r>
      <w:r>
        <w:t xml:space="preserve">.</w:t>
      </w:r>
    </w:p>
    <w:bookmarkEnd w:id="77"/>
    <w:bookmarkStart w:id="79" w:name="ref-carlini2017towards"/>
    <w:p>
      <w:pPr>
        <w:pStyle w:val="Bibliography"/>
      </w:pPr>
      <w:r>
        <w:t xml:space="preserve">Carlini, Nicholas, and David Wagner. 2017.</w:t>
      </w:r>
      <w:r>
        <w:t xml:space="preserve"> </w:t>
      </w:r>
      <w:r>
        <w:t xml:space="preserve">“Towards Evaluating the Robustness of Neural Networks.”</w:t>
      </w:r>
      <w:r>
        <w:t xml:space="preserve"> </w:t>
      </w:r>
      <w:r>
        <w:t xml:space="preserve">In</w:t>
      </w:r>
      <w:r>
        <w:t xml:space="preserve"> </w:t>
      </w:r>
      <w:r>
        <w:rPr>
          <w:iCs/>
          <w:i/>
        </w:rPr>
        <w:t xml:space="preserve">IEEE Symposium on Security and Privacy (SP)</w:t>
      </w:r>
      <w:r>
        <w:t xml:space="preserve">, 39–57.</w:t>
      </w:r>
      <w:r>
        <w:t xml:space="preserve"> </w:t>
      </w:r>
      <w:hyperlink r:id="rId78">
        <w:r>
          <w:rPr>
            <w:rStyle w:val="Hyperlink"/>
          </w:rPr>
          <w:t xml:space="preserve">https://doi.org/10.1109/SP.2017.49</w:t>
        </w:r>
      </w:hyperlink>
      <w:r>
        <w:t xml:space="preserve">.</w:t>
      </w:r>
    </w:p>
    <w:bookmarkEnd w:id="79"/>
    <w:bookmarkStart w:id="81" w:name="ref-c2pa2025"/>
    <w:p>
      <w:pPr>
        <w:pStyle w:val="Bibliography"/>
      </w:pPr>
      <w:r>
        <w:t xml:space="preserve">Coalition for Content Provenance and Authenticity. 2025.</w:t>
      </w:r>
      <w:r>
        <w:t xml:space="preserve"> </w:t>
      </w:r>
      <w:r>
        <w:t xml:space="preserve">“</w:t>
      </w:r>
      <w:r>
        <w:t xml:space="preserve">C2PA</w:t>
      </w:r>
      <w:r>
        <w:t xml:space="preserve"> </w:t>
      </w:r>
      <w:r>
        <w:t xml:space="preserve">Specification V2.2.”</w:t>
      </w:r>
      <w:r>
        <w:t xml:space="preserve"> </w:t>
      </w:r>
      <w:hyperlink r:id="rId80">
        <w:r>
          <w:rPr>
            <w:rStyle w:val="Hyperlink"/>
          </w:rPr>
          <w:t xml:space="preserve">https://c2pa.org/specifications/</w:t>
        </w:r>
      </w:hyperlink>
      <w:r>
        <w:t xml:space="preserve">.</w:t>
      </w:r>
    </w:p>
    <w:bookmarkEnd w:id="81"/>
    <w:bookmarkStart w:id="83" w:name="ref-crosby2009efficient"/>
    <w:p>
      <w:pPr>
        <w:pStyle w:val="Bibliography"/>
      </w:pPr>
      <w:r>
        <w:t xml:space="preserve">Crosby, Scott A., and Dan S. Wallach. 2009.</w:t>
      </w:r>
      <w:r>
        <w:t xml:space="preserve"> </w:t>
      </w:r>
      <w:r>
        <w:t xml:space="preserve">“Efficient Data Structures for Tamper-Evident Logging.”</w:t>
      </w:r>
      <w:r>
        <w:t xml:space="preserve"> </w:t>
      </w:r>
      <w:r>
        <w:t xml:space="preserve">In</w:t>
      </w:r>
      <w:r>
        <w:t xml:space="preserve"> </w:t>
      </w:r>
      <w:r>
        <w:rPr>
          <w:iCs/>
          <w:i/>
        </w:rPr>
        <w:t xml:space="preserve">Proceedings of the 18th USENIX Security Symposium</w:t>
      </w:r>
      <w:r>
        <w:t xml:space="preserve">.</w:t>
      </w:r>
      <w:r>
        <w:t xml:space="preserve"> </w:t>
      </w:r>
      <w:hyperlink r:id="rId82">
        <w:r>
          <w:rPr>
            <w:rStyle w:val="Hyperlink"/>
          </w:rPr>
          <w:t xml:space="preserve">https://static.usenix.org/event/sec09/tech/full_papers/crosby.pdf</w:t>
        </w:r>
      </w:hyperlink>
      <w:r>
        <w:t xml:space="preserve">.</w:t>
      </w:r>
    </w:p>
    <w:bookmarkEnd w:id="83"/>
    <w:bookmarkStart w:id="85" w:name="ref-eklund2015astrazeneca"/>
    <w:p>
      <w:pPr>
        <w:pStyle w:val="Bibliography"/>
      </w:pPr>
      <w:r>
        <w:t xml:space="preserve">Eklund, Martin, Ulf Norinder, Scott Boyer, and Lars Carlsson. 2015.</w:t>
      </w:r>
      <w:r>
        <w:t xml:space="preserve"> </w:t>
      </w:r>
      <w:r>
        <w:t xml:space="preserve">“The Application of Conformal Prediction to the Drug Discovery Process.”</w:t>
      </w:r>
      <w:r>
        <w:t xml:space="preserve"> </w:t>
      </w:r>
      <w:r>
        <w:rPr>
          <w:iCs/>
          <w:i/>
        </w:rPr>
        <w:t xml:space="preserve">Annals of Mathematics and Artificial Intelligence</w:t>
      </w:r>
      <w:r>
        <w:t xml:space="preserve"> </w:t>
      </w:r>
      <w:r>
        <w:t xml:space="preserve">74: 117–32.</w:t>
      </w:r>
      <w:r>
        <w:t xml:space="preserve"> </w:t>
      </w:r>
      <w:hyperlink r:id="rId84">
        <w:r>
          <w:rPr>
            <w:rStyle w:val="Hyperlink"/>
          </w:rPr>
          <w:t xml:space="preserve">https://doi.org/10.1007/s10472-013-9378-2</w:t>
        </w:r>
      </w:hyperlink>
      <w:r>
        <w:t xml:space="preserve">.</w:t>
      </w:r>
    </w:p>
    <w:bookmarkEnd w:id="85"/>
    <w:bookmarkStart w:id="86" w:name="ref-euaiact2024"/>
    <w:p>
      <w:pPr>
        <w:pStyle w:val="Bibliography"/>
      </w:pPr>
      <w:r>
        <w:t xml:space="preserve">European Parliament and Council. 2024.</w:t>
      </w:r>
      <w:r>
        <w:t xml:space="preserve"> </w:t>
      </w:r>
      <w:r>
        <w:t xml:space="preserve">“Regulation (</w:t>
      </w:r>
      <w:r>
        <w:t xml:space="preserve">EU</w:t>
      </w:r>
      <w:r>
        <w:t xml:space="preserve">) 2024/1689 — the</w:t>
      </w:r>
      <w:r>
        <w:t xml:space="preserve"> </w:t>
      </w:r>
      <w:r>
        <w:t xml:space="preserve">AI</w:t>
      </w:r>
      <w:r>
        <w:t xml:space="preserve"> </w:t>
      </w:r>
      <w:r>
        <w:t xml:space="preserve">Act.”</w:t>
      </w:r>
      <w:r>
        <w:t xml:space="preserve"> </w:t>
      </w:r>
      <w:r>
        <w:t xml:space="preserve">Official Journal of the European Union, L 2024/1689.</w:t>
      </w:r>
    </w:p>
    <w:bookmarkEnd w:id="86"/>
    <w:bookmarkStart w:id="87" w:name="ref-gibbs2021adaptive"/>
    <w:p>
      <w:pPr>
        <w:pStyle w:val="Bibliography"/>
      </w:pPr>
      <w:r>
        <w:t xml:space="preserve">Gibbs, Isaac, and Emmanuel Candès. 2021.</w:t>
      </w:r>
      <w:r>
        <w:t xml:space="preserve"> </w:t>
      </w:r>
      <w:r>
        <w:t xml:space="preserve">“Adaptive Conformal Inference Under Distribution Shift.”</w:t>
      </w:r>
      <w:r>
        <w:t xml:space="preserve"> </w:t>
      </w:r>
      <w:r>
        <w:t xml:space="preserve">In</w:t>
      </w:r>
      <w:r>
        <w:t xml:space="preserve"> </w:t>
      </w:r>
      <w:r>
        <w:rPr>
          <w:iCs/>
          <w:i/>
        </w:rPr>
        <w:t xml:space="preserve">Advances in Neural Information Processing Systems (NeurIPS)</w:t>
      </w:r>
      <w:r>
        <w:t xml:space="preserve">, 1660–72.</w:t>
      </w:r>
    </w:p>
    <w:bookmarkEnd w:id="87"/>
    <w:bookmarkStart w:id="88" w:name="ref-goodfellow2015explaining"/>
    <w:p>
      <w:pPr>
        <w:pStyle w:val="Bibliography"/>
      </w:pPr>
      <w:r>
        <w:t xml:space="preserve">Goodfellow, Ian J., Jonathon Shlens, and Christian Szegedy. 2015.</w:t>
      </w:r>
      <w:r>
        <w:t xml:space="preserve"> </w:t>
      </w:r>
      <w:r>
        <w:t xml:space="preserve">“Explaining and Harnessing Adversarial Examples.”</w:t>
      </w:r>
      <w:r>
        <w:t xml:space="preserve"> </w:t>
      </w:r>
      <w:r>
        <w:rPr>
          <w:iCs/>
          <w:i/>
        </w:rPr>
        <w:t xml:space="preserve">International Conference on Learning Representations (ICLR)</w:t>
      </w:r>
      <w:r>
        <w:t xml:space="preserve">.</w:t>
      </w:r>
    </w:p>
    <w:bookmarkEnd w:id="88"/>
    <w:bookmarkStart w:id="90" w:name="ref-guo2017calibration"/>
    <w:p>
      <w:pPr>
        <w:pStyle w:val="Bibliography"/>
      </w:pPr>
      <w:r>
        <w:t xml:space="preserve">Guo, Chuan, Geoff Pleiss, Yu Sun, and Kilian Q. Weinberger. 2017.</w:t>
      </w:r>
      <w:r>
        <w:t xml:space="preserve"> </w:t>
      </w:r>
      <w:r>
        <w:t xml:space="preserve">“On Calibration of Modern Neural Networks.”</w:t>
      </w:r>
      <w:r>
        <w:t xml:space="preserve"> </w:t>
      </w:r>
      <w:r>
        <w:t xml:space="preserve">In</w:t>
      </w:r>
      <w:r>
        <w:t xml:space="preserve"> </w:t>
      </w:r>
      <w:r>
        <w:rPr>
          <w:iCs/>
          <w:i/>
        </w:rPr>
        <w:t xml:space="preserve">Proceedings of the 34th International Conference on Machine Learning (ICML)</w:t>
      </w:r>
      <w:r>
        <w:t xml:space="preserve">, 70:1321–30. PMLR.</w:t>
      </w:r>
      <w:r>
        <w:t xml:space="preserve"> </w:t>
      </w:r>
      <w:hyperlink r:id="rId89">
        <w:r>
          <w:rPr>
            <w:rStyle w:val="Hyperlink"/>
          </w:rPr>
          <w:t xml:space="preserve">https://proceedings.mlr.press/v70/guo17a.html</w:t>
        </w:r>
      </w:hyperlink>
      <w:r>
        <w:t xml:space="preserve">.</w:t>
      </w:r>
    </w:p>
    <w:bookmarkEnd w:id="90"/>
    <w:bookmarkStart w:id="92" w:name="ref-denhengst2024ing"/>
    <w:p>
      <w:pPr>
        <w:pStyle w:val="Bibliography"/>
      </w:pPr>
      <w:r>
        <w:t xml:space="preserve">Hengst, Floris den et al. 2024.</w:t>
      </w:r>
      <w:r>
        <w:t xml:space="preserve"> </w:t>
      </w:r>
      <w:r>
        <w:t xml:space="preserve">“Conformal Intent Classification and Clarification for Fast and Accurate Intent Recognition.”</w:t>
      </w:r>
      <w:r>
        <w:t xml:space="preserve"> </w:t>
      </w:r>
      <w:r>
        <w:t xml:space="preserve">In</w:t>
      </w:r>
      <w:r>
        <w:t xml:space="preserve"> </w:t>
      </w:r>
      <w:r>
        <w:rPr>
          <w:iCs/>
          <w:i/>
        </w:rPr>
        <w:t xml:space="preserve">Findings of the Association for Computational Linguistics: NAACL 2024</w:t>
      </w:r>
      <w:r>
        <w:t xml:space="preserve">.</w:t>
      </w:r>
      <w:r>
        <w:t xml:space="preserve"> </w:t>
      </w:r>
      <w:hyperlink r:id="rId91">
        <w:r>
          <w:rPr>
            <w:rStyle w:val="Hyperlink"/>
          </w:rPr>
          <w:t xml:space="preserve">https://doi.org/10.18653/v1/2024.findings-naacl.156</w:t>
        </w:r>
      </w:hyperlink>
      <w:r>
        <w:t xml:space="preserve">.</w:t>
      </w:r>
    </w:p>
    <w:bookmarkEnd w:id="92"/>
    <w:bookmarkStart w:id="93" w:name="ref-horvitz2026media"/>
    <w:p>
      <w:pPr>
        <w:pStyle w:val="Bibliography"/>
      </w:pPr>
      <w:r>
        <w:t xml:space="preserve">Horvitz, Eric. 2026.</w:t>
      </w:r>
      <w:r>
        <w:t xml:space="preserve"> </w:t>
      </w:r>
      <w:r>
        <w:t xml:space="preserve">“Media Integrity and Authentication: Status, Directions, and Futures.”</w:t>
      </w:r>
      <w:r>
        <w:t xml:space="preserve"> </w:t>
      </w:r>
      <w:r>
        <w:rPr>
          <w:iCs/>
          <w:i/>
        </w:rPr>
        <w:t xml:space="preserve">arXiv Preprint</w:t>
      </w:r>
      <w:r>
        <w:t xml:space="preserve">.</w:t>
      </w:r>
    </w:p>
    <w:bookmarkEnd w:id="93"/>
    <w:bookmarkStart w:id="94" w:name="ref-iso42001"/>
    <w:p>
      <w:pPr>
        <w:pStyle w:val="Bibliography"/>
      </w:pPr>
      <w:r>
        <w:t xml:space="preserve">International Organization for Standardization. 2023.</w:t>
      </w:r>
      <w:r>
        <w:t xml:space="preserve"> </w:t>
      </w:r>
      <w:r>
        <w:t xml:space="preserve">“</w:t>
      </w:r>
      <w:r>
        <w:t xml:space="preserve">ISO/IEC</w:t>
      </w:r>
      <w:r>
        <w:t xml:space="preserve"> </w:t>
      </w:r>
      <w:r>
        <w:t xml:space="preserve">42001:2023 — Artificial Intelligence Management System.”</w:t>
      </w:r>
    </w:p>
    <w:bookmarkEnd w:id="94"/>
    <w:bookmarkStart w:id="96" w:name="ref-katz2017reluplex"/>
    <w:p>
      <w:pPr>
        <w:pStyle w:val="Bibliography"/>
      </w:pPr>
      <w:r>
        <w:t xml:space="preserve">Katz, Guy, Clark Barrett, David L. Dill, Kyle Julian, and Mykel J. Kochenderfer. 2017.</w:t>
      </w:r>
      <w:r>
        <w:t xml:space="preserve"> </w:t>
      </w:r>
      <w:r>
        <w:t xml:space="preserve">“Reluplex: An Efficient</w:t>
      </w:r>
      <w:r>
        <w:t xml:space="preserve"> </w:t>
      </w:r>
      <w:r>
        <w:t xml:space="preserve">SMT</w:t>
      </w:r>
      <w:r>
        <w:t xml:space="preserve"> </w:t>
      </w:r>
      <w:r>
        <w:t xml:space="preserve">Solver for Verifying Deep Neural Networks.”</w:t>
      </w:r>
      <w:r>
        <w:t xml:space="preserve"> </w:t>
      </w:r>
      <w:r>
        <w:t xml:space="preserve">In</w:t>
      </w:r>
      <w:r>
        <w:t xml:space="preserve"> </w:t>
      </w:r>
      <w:r>
        <w:rPr>
          <w:iCs/>
          <w:i/>
        </w:rPr>
        <w:t xml:space="preserve">International Conference on Computer Aided Verification (CAV)</w:t>
      </w:r>
      <w:r>
        <w:t xml:space="preserve">, 97–117.</w:t>
      </w:r>
      <w:r>
        <w:t xml:space="preserve"> </w:t>
      </w:r>
      <w:hyperlink r:id="rId95">
        <w:r>
          <w:rPr>
            <w:rStyle w:val="Hyperlink"/>
          </w:rPr>
          <w:t xml:space="preserve">https://doi.org/10.1007/978-3-319-63387-9_5</w:t>
        </w:r>
      </w:hyperlink>
      <w:r>
        <w:t xml:space="preserve">.</w:t>
      </w:r>
    </w:p>
    <w:bookmarkEnd w:id="96"/>
    <w:bookmarkStart w:id="98" w:name="ref-pyrit2024"/>
    <w:p>
      <w:pPr>
        <w:pStyle w:val="Bibliography"/>
      </w:pPr>
      <w:r>
        <w:t xml:space="preserve">Microsoft. 2024.</w:t>
      </w:r>
      <w:r>
        <w:t xml:space="preserve"> </w:t>
      </w:r>
      <w:r>
        <w:t xml:space="preserve">“</w:t>
      </w:r>
      <w:r>
        <w:t xml:space="preserve">PyRIT</w:t>
      </w:r>
      <w:r>
        <w:t xml:space="preserve">: Python Risk Identification Toolkit for Generative</w:t>
      </w:r>
      <w:r>
        <w:t xml:space="preserve"> </w:t>
      </w:r>
      <w:r>
        <w:t xml:space="preserve">AI</w:t>
      </w:r>
      <w:r>
        <w:t xml:space="preserve">.”</w:t>
      </w:r>
      <w:r>
        <w:t xml:space="preserve"> </w:t>
      </w:r>
      <w:hyperlink r:id="rId97">
        <w:r>
          <w:rPr>
            <w:rStyle w:val="Hyperlink"/>
          </w:rPr>
          <w:t xml:space="preserve">https://github.com/Azure/PyRIT</w:t>
        </w:r>
      </w:hyperlink>
      <w:r>
        <w:t xml:space="preserve">.</w:t>
      </w:r>
    </w:p>
    <w:bookmarkEnd w:id="98"/>
    <w:bookmarkStart w:id="99" w:name="ref-moradi2025nrel"/>
    <w:p>
      <w:pPr>
        <w:pStyle w:val="Bibliography"/>
      </w:pPr>
      <w:r>
        <w:t xml:space="preserve">Moradi, Armin, Mathieu Tanneau, Mohammadhossein Zandehshahvar, and Pascal Van Hentenryck. 2025.</w:t>
      </w:r>
      <w:r>
        <w:t xml:space="preserve"> </w:t>
      </w:r>
      <w:r>
        <w:t xml:space="preserve">“Enhanced Renewable Energy Forecasting Using Context-Aware Conformal Prediction.”</w:t>
      </w:r>
      <w:r>
        <w:t xml:space="preserve"> </w:t>
      </w:r>
      <w:r>
        <w:rPr>
          <w:iCs/>
          <w:i/>
        </w:rPr>
        <w:t xml:space="preserve">arXiv Preprint</w:t>
      </w:r>
      <w:r>
        <w:t xml:space="preserve">.</w:t>
      </w:r>
    </w:p>
    <w:bookmarkEnd w:id="99"/>
    <w:bookmarkStart w:id="101" w:name="ref-nist2023rmf"/>
    <w:p>
      <w:pPr>
        <w:pStyle w:val="Bibliography"/>
      </w:pPr>
      <w:r>
        <w:t xml:space="preserve">National Institute of Standards and Technology. 2023.</w:t>
      </w:r>
      <w:r>
        <w:t xml:space="preserve"> </w:t>
      </w:r>
      <w:r>
        <w:t xml:space="preserve">“</w:t>
      </w:r>
      <w:r>
        <w:t xml:space="preserve">AI</w:t>
      </w:r>
      <w:r>
        <w:t xml:space="preserve"> </w:t>
      </w:r>
      <w:r>
        <w:t xml:space="preserve">Risk Management Framework (</w:t>
      </w:r>
      <w:r>
        <w:t xml:space="preserve">AI</w:t>
      </w:r>
      <w:r>
        <w:t xml:space="preserve"> </w:t>
      </w:r>
      <w:r>
        <w:t xml:space="preserve">RMF</w:t>
      </w:r>
      <w:r>
        <w:t xml:space="preserve"> </w:t>
      </w:r>
      <w:r>
        <w:t xml:space="preserve">1.0).”</w:t>
      </w:r>
      <w:r>
        <w:t xml:space="preserve"> </w:t>
      </w:r>
      <w:r>
        <w:t xml:space="preserve">NIST AI 100-1.</w:t>
      </w:r>
      <w:r>
        <w:t xml:space="preserve"> </w:t>
      </w:r>
      <w:hyperlink r:id="rId100">
        <w:r>
          <w:rPr>
            <w:rStyle w:val="Hyperlink"/>
          </w:rPr>
          <w:t xml:space="preserve">https://nvlpubs.nist.gov/nistpubs/ai/nist.ai.100-1.pdf</w:t>
        </w:r>
      </w:hyperlink>
      <w:r>
        <w:t xml:space="preserve">.</w:t>
      </w:r>
    </w:p>
    <w:bookmarkEnd w:id="101"/>
    <w:bookmarkStart w:id="102" w:name="ref-nemecek2026integrity"/>
    <w:p>
      <w:pPr>
        <w:pStyle w:val="Bibliography"/>
      </w:pPr>
      <w:r>
        <w:t xml:space="preserve">Nemecek, Adam, Hangfan He, Ganghui Cheng, and Erman Ayday. 2026.</w:t>
      </w:r>
      <w:r>
        <w:t xml:space="preserve"> </w:t>
      </w:r>
      <w:r>
        <w:t xml:space="preserve">“Authenticated Contradictions from Desynchronized Provenance and Watermarking.”</w:t>
      </w:r>
      <w:r>
        <w:t xml:space="preserve"> </w:t>
      </w:r>
      <w:r>
        <w:rPr>
          <w:iCs/>
          <w:i/>
        </w:rPr>
        <w:t xml:space="preserve">arXiv Preprint</w:t>
      </w:r>
      <w:r>
        <w:t xml:space="preserve">.</w:t>
      </w:r>
    </w:p>
    <w:bookmarkEnd w:id="102"/>
    <w:bookmarkStart w:id="104" w:name="ref-newman2026pda"/>
    <w:p>
      <w:pPr>
        <w:pStyle w:val="Bibliography"/>
      </w:pPr>
      <w:r>
        <w:t xml:space="preserve">Newman, Ant. 2026.</w:t>
      </w:r>
      <w:r>
        <w:t xml:space="preserve"> </w:t>
      </w:r>
      <w:r>
        <w:t xml:space="preserve">“From Policy to Practice: An Open Framework for</w:t>
      </w:r>
      <w:r>
        <w:t xml:space="preserve"> </w:t>
      </w:r>
      <w:r>
        <w:t xml:space="preserve">AI</w:t>
      </w:r>
      <w:r>
        <w:t xml:space="preserve">-Ready Project Delivery.”</w:t>
      </w:r>
      <w:r>
        <w:t xml:space="preserve"> </w:t>
      </w:r>
      <w:r>
        <w:t xml:space="preserve">Tortoise AI.</w:t>
      </w:r>
      <w:r>
        <w:t xml:space="preserve"> </w:t>
      </w:r>
      <w:hyperlink r:id="rId103">
        <w:r>
          <w:rPr>
            <w:rStyle w:val="Hyperlink"/>
          </w:rPr>
          <w:t xml:space="preserve">https://doi.org/10.5281/zenodo.18133574</w:t>
        </w:r>
      </w:hyperlink>
      <w:r>
        <w:t xml:space="preserve">.</w:t>
      </w:r>
    </w:p>
    <w:bookmarkEnd w:id="104"/>
    <w:bookmarkStart w:id="106" w:name="ref-garak2024"/>
    <w:p>
      <w:pPr>
        <w:pStyle w:val="Bibliography"/>
      </w:pPr>
      <w:r>
        <w:t xml:space="preserve">NVIDIA. 2024.</w:t>
      </w:r>
      <w:r>
        <w:t xml:space="preserve"> </w:t>
      </w:r>
      <w:r>
        <w:t xml:space="preserve">“Garak:</w:t>
      </w:r>
      <w:r>
        <w:t xml:space="preserve"> </w:t>
      </w:r>
      <w:r>
        <w:t xml:space="preserve">LLM</w:t>
      </w:r>
      <w:r>
        <w:t xml:space="preserve"> </w:t>
      </w:r>
      <w:r>
        <w:t xml:space="preserve">Vulnerability Scanner.”</w:t>
      </w:r>
      <w:r>
        <w:t xml:space="preserve"> </w:t>
      </w:r>
      <w:hyperlink r:id="rId105">
        <w:r>
          <w:rPr>
            <w:rStyle w:val="Hyperlink"/>
          </w:rPr>
          <w:t xml:space="preserve">https://github.com/leondz/garak</w:t>
        </w:r>
      </w:hyperlink>
      <w:r>
        <w:t xml:space="preserve">.</w:t>
      </w:r>
    </w:p>
    <w:bookmarkEnd w:id="106"/>
    <w:bookmarkStart w:id="107" w:name="ref-ouyang2022training"/>
    <w:p>
      <w:pPr>
        <w:pStyle w:val="Bibliography"/>
      </w:pPr>
      <w:r>
        <w:t xml:space="preserve">Ouyang, Long, Jeffrey Wu, Xu Jiang, Diogo Almeida, Carroll Wainwright, Pamela Mishkin, Chong Zhang, et al. 2022.</w:t>
      </w:r>
      <w:r>
        <w:t xml:space="preserve"> </w:t>
      </w:r>
      <w:r>
        <w:t xml:space="preserve">“Training Language Models to Follow Instructions with Human Feedback.”</w:t>
      </w:r>
      <w:r>
        <w:t xml:space="preserve"> </w:t>
      </w:r>
      <w:r>
        <w:rPr>
          <w:iCs/>
          <w:i/>
        </w:rPr>
        <w:t xml:space="preserve">Advances in Neural Information Processing Systems (NeurIPS)</w:t>
      </w:r>
      <w:r>
        <w:t xml:space="preserve">.</w:t>
      </w:r>
    </w:p>
    <w:bookmarkEnd w:id="107"/>
    <w:bookmarkStart w:id="108" w:name="ref-ovadia2019uncertainty"/>
    <w:p>
      <w:pPr>
        <w:pStyle w:val="Bibliography"/>
      </w:pPr>
      <w:r>
        <w:t xml:space="preserve">Ovadia, Yaniv, Emily Fertig, Jie Ren, Zachary Nado, D. Sculley, Sebastian Nowozin, Joshua V. Dillon, Balaji Lakshminarayanan, and Jasper Snoek. 2019.</w:t>
      </w:r>
      <w:r>
        <w:t xml:space="preserve"> </w:t>
      </w:r>
      <w:r>
        <w:t xml:space="preserve">“Can You Trust Your Model’s Uncertainty? Evaluating Predictive Uncertainty Under Dataset Shift.”</w:t>
      </w:r>
      <w:r>
        <w:t xml:space="preserve"> </w:t>
      </w:r>
      <w:r>
        <w:t xml:space="preserve">In</w:t>
      </w:r>
      <w:r>
        <w:t xml:space="preserve"> </w:t>
      </w:r>
      <w:r>
        <w:rPr>
          <w:iCs/>
          <w:i/>
        </w:rPr>
        <w:t xml:space="preserve">Advances in Neural Information Processing Systems (NeurIPS)</w:t>
      </w:r>
      <w:r>
        <w:t xml:space="preserve">.</w:t>
      </w:r>
    </w:p>
    <w:bookmarkEnd w:id="108"/>
    <w:bookmarkStart w:id="110" w:name="ref-shahbazi2026hierarchical"/>
    <w:p>
      <w:pPr>
        <w:pStyle w:val="Bibliography"/>
      </w:pPr>
      <w:r>
        <w:t xml:space="preserve">Shahbazi, Negar, Ali Baheri, and Nasibeh Azadeh-Fard. 2026.</w:t>
      </w:r>
      <w:r>
        <w:t xml:space="preserve"> </w:t>
      </w:r>
      <w:r>
        <w:t xml:space="preserve">“A Hierarchical Conformal Framework for Uncertainty-Aware Length of Stay Prediction in Multi-Hospital Settings.”</w:t>
      </w:r>
      <w:r>
        <w:t xml:space="preserve"> </w:t>
      </w:r>
      <w:r>
        <w:rPr>
          <w:iCs/>
          <w:i/>
        </w:rPr>
        <w:t xml:space="preserve">Nature Scientific Reports</w:t>
      </w:r>
      <w:r>
        <w:t xml:space="preserve"> </w:t>
      </w:r>
      <w:r>
        <w:t xml:space="preserve">16 (6564).</w:t>
      </w:r>
      <w:r>
        <w:t xml:space="preserve"> </w:t>
      </w:r>
      <w:hyperlink r:id="rId109">
        <w:r>
          <w:rPr>
            <w:rStyle w:val="Hyperlink"/>
          </w:rPr>
          <w:t xml:space="preserve">https://doi.org/10.1038/s41598-026-37450-w</w:t>
        </w:r>
      </w:hyperlink>
      <w:r>
        <w:t xml:space="preserve">.</w:t>
      </w:r>
    </w:p>
    <w:bookmarkEnd w:id="110"/>
    <w:bookmarkStart w:id="112" w:name="ref-vovk2005algorithmic"/>
    <w:p>
      <w:pPr>
        <w:pStyle w:val="Bibliography"/>
      </w:pPr>
      <w:r>
        <w:t xml:space="preserve">Vovk, Vladimir, Alexander Gammerman, and Glenn Shafer. 2005.</w:t>
      </w:r>
      <w:r>
        <w:t xml:space="preserve"> </w:t>
      </w:r>
      <w:r>
        <w:rPr>
          <w:iCs/>
          <w:i/>
        </w:rPr>
        <w:t xml:space="preserve">Algorithmic Learning in a Random World</w:t>
      </w:r>
      <w:r>
        <w:t xml:space="preserve">. Springer.</w:t>
      </w:r>
      <w:r>
        <w:t xml:space="preserve"> </w:t>
      </w:r>
      <w:hyperlink r:id="rId111">
        <w:r>
          <w:rPr>
            <w:rStyle w:val="Hyperlink"/>
          </w:rPr>
          <w:t xml:space="preserve">https://doi.org/10.1007/b106715</w:t>
        </w:r>
      </w:hyperlink>
      <w:r>
        <w:t xml:space="preserve">.</w:t>
      </w:r>
    </w:p>
    <w:bookmarkEnd w:id="112"/>
    <w:bookmarkStart w:id="113" w:name="ref-wang2021beta"/>
    <w:p>
      <w:pPr>
        <w:pStyle w:val="Bibliography"/>
      </w:pPr>
      <w:r>
        <w:t xml:space="preserve">Wang, Shiqi, Huan Zhang, Kaidi Xu, Xue Lin, Suman Jana, Cho-Jui Hsieh, and J. Zico Kolter. 2021.</w:t>
      </w:r>
      <w:r>
        <w:t xml:space="preserve"> </w:t>
      </w:r>
      <w:r>
        <w:t xml:space="preserve">“Beta-</w:t>
      </w:r>
      <w:r>
        <w:t xml:space="preserve">CROWN</w:t>
      </w:r>
      <w:r>
        <w:t xml:space="preserve">: Efficient Bound Propagation with Per-Neuron Split Constraints for Neural Network Robustness Verification.”</w:t>
      </w:r>
      <w:r>
        <w:t xml:space="preserve"> </w:t>
      </w:r>
      <w:r>
        <w:rPr>
          <w:iCs/>
          <w:i/>
        </w:rPr>
        <w:t xml:space="preserve">Advances in Neural Information Processing Systems (NeurIPS)</w:t>
      </w:r>
      <w:r>
        <w:t xml:space="preserve">.</w:t>
      </w:r>
    </w:p>
    <w:bookmarkEnd w:id="113"/>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Tortoise</w:t>
      </w:r>
      <w:r>
        <w:t xml:space="preserve"> </w:t>
      </w:r>
      <w:r>
        <w:t xml:space="preserve">AI.</w:t>
      </w:r>
      <w:r>
        <w:t xml:space="preserve"> </w:t>
      </w:r>
      <w:r>
        <w:t xml:space="preserve">Corresponding</w:t>
      </w:r>
      <w:r>
        <w:t xml:space="preserve"> </w:t>
      </w:r>
      <w:r>
        <w:t xml:space="preserve">author:</w:t>
      </w:r>
      <w:r>
        <w:t xml:space="preserve"> </w:t>
      </w:r>
      <w:r>
        <w:rPr>
          <w:rStyle w:val="VerbatimChar"/>
        </w:rPr>
        <w:t xml:space="preserve">antjsnewman@outlook.com</w:t>
      </w:r>
    </w:p>
  </w:footnote>
  <w:footnote w:id="30">
    <w:p>
      <w:pPr>
        <w:pStyle w:val="FootnoteText"/>
      </w:pPr>
      <w:r>
        <w:rPr>
          <w:rStyle w:val="FootnoteReference"/>
        </w:rPr>
        <w:footnoteRef/>
      </w:r>
      <w:r>
        <w:t xml:space="preserve"> </w:t>
      </w:r>
      <w:hyperlink r:id="rId21">
        <w:r>
          <w:rPr>
            <w:rStyle w:val="Hyperlink"/>
          </w:rPr>
          <w:t xml:space="preserve">https://github.com/antnewman/verified-autonomy</w:t>
        </w:r>
      </w:hyperlink>
    </w:p>
  </w:footnote>
  <w:footnote w:id="63">
    <w:p>
      <w:pPr>
        <w:pStyle w:val="FootnoteText"/>
      </w:pPr>
      <w:r>
        <w:rPr>
          <w:rStyle w:val="FootnoteReference"/>
        </w:rPr>
        <w:footnoteRef/>
      </w:r>
      <w:r>
        <w:t xml:space="preserve"> </w:t>
      </w:r>
      <w:hyperlink r:id="rId21">
        <w:r>
          <w:rPr>
            <w:rStyle w:val="Hyperlink"/>
          </w:rPr>
          <w:t xml:space="preserve">https://github.com/antnewman/verified-autonomy</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c2pa.org/specifications/" TargetMode="External" /><Relationship Type="http://schemas.openxmlformats.org/officeDocument/2006/relationships/hyperlink" Id="rId95" Target="https://doi.org/10.1007/978-3-319-63387-9_5" TargetMode="External" /><Relationship Type="http://schemas.openxmlformats.org/officeDocument/2006/relationships/hyperlink" Id="rId111" Target="https://doi.org/10.1007/b106715" TargetMode="External" /><Relationship Type="http://schemas.openxmlformats.org/officeDocument/2006/relationships/hyperlink" Id="rId84" Target="https://doi.org/10.1007/s10472-013-9378-2" TargetMode="External" /><Relationship Type="http://schemas.openxmlformats.org/officeDocument/2006/relationships/hyperlink" Id="rId72" Target="https://doi.org/10.1016/j.xphs.2020.09.055" TargetMode="External" /><Relationship Type="http://schemas.openxmlformats.org/officeDocument/2006/relationships/hyperlink" Id="rId109" Target="https://doi.org/10.1038/s41598-026-37450-w" TargetMode="External" /><Relationship Type="http://schemas.openxmlformats.org/officeDocument/2006/relationships/hyperlink" Id="rId78" Target="https://doi.org/10.1109/SP.2017.49" TargetMode="External" /><Relationship Type="http://schemas.openxmlformats.org/officeDocument/2006/relationships/hyperlink" Id="rId74" Target="https://doi.org/10.1561/2200000101" TargetMode="External" /><Relationship Type="http://schemas.openxmlformats.org/officeDocument/2006/relationships/hyperlink" Id="rId91" Target="https://doi.org/10.18653/v1/2024.findings-naacl.156" TargetMode="External" /><Relationship Type="http://schemas.openxmlformats.org/officeDocument/2006/relationships/hyperlink" Id="rId103" Target="https://doi.org/10.5281/zenodo.18133574" TargetMode="External" /><Relationship Type="http://schemas.openxmlformats.org/officeDocument/2006/relationships/hyperlink" Id="rId97" Target="https://github.com/Azure/PyRIT" TargetMode="External" /><Relationship Type="http://schemas.openxmlformats.org/officeDocument/2006/relationships/hyperlink" Id="rId21" Target="https://github.com/antnewman/verified-autonomy" TargetMode="External" /><Relationship Type="http://schemas.openxmlformats.org/officeDocument/2006/relationships/hyperlink" Id="rId105" Target="https://github.com/leondz/garak" TargetMode="External" /><Relationship Type="http://schemas.openxmlformats.org/officeDocument/2006/relationships/hyperlink" Id="rId100" Target="https://nvlpubs.nist.gov/nistpubs/ai/nist.ai.100-1.pdf" TargetMode="External" /><Relationship Type="http://schemas.openxmlformats.org/officeDocument/2006/relationships/hyperlink" Id="rId89" Target="https://proceedings.mlr.press/v70/guo17a.html" TargetMode="External" /><Relationship Type="http://schemas.openxmlformats.org/officeDocument/2006/relationships/hyperlink" Id="rId82" Target="https://static.usenix.org/event/sec09/tech/full_papers/crosby.pdf" TargetMode="External" /></Relationships>
</file>

<file path=word/_rels/footnotes.xml.rels><?xml version="1.0" encoding="UTF-8"?><Relationships xmlns="http://schemas.openxmlformats.org/package/2006/relationships"><Relationship Type="http://schemas.openxmlformats.org/officeDocument/2006/relationships/hyperlink" Id="rId80" Target="https://c2pa.org/specifications/" TargetMode="External" /><Relationship Type="http://schemas.openxmlformats.org/officeDocument/2006/relationships/hyperlink" Id="rId95" Target="https://doi.org/10.1007/978-3-319-63387-9_5" TargetMode="External" /><Relationship Type="http://schemas.openxmlformats.org/officeDocument/2006/relationships/hyperlink" Id="rId111" Target="https://doi.org/10.1007/b106715" TargetMode="External" /><Relationship Type="http://schemas.openxmlformats.org/officeDocument/2006/relationships/hyperlink" Id="rId84" Target="https://doi.org/10.1007/s10472-013-9378-2" TargetMode="External" /><Relationship Type="http://schemas.openxmlformats.org/officeDocument/2006/relationships/hyperlink" Id="rId72" Target="https://doi.org/10.1016/j.xphs.2020.09.055" TargetMode="External" /><Relationship Type="http://schemas.openxmlformats.org/officeDocument/2006/relationships/hyperlink" Id="rId109" Target="https://doi.org/10.1038/s41598-026-37450-w" TargetMode="External" /><Relationship Type="http://schemas.openxmlformats.org/officeDocument/2006/relationships/hyperlink" Id="rId78" Target="https://doi.org/10.1109/SP.2017.49" TargetMode="External" /><Relationship Type="http://schemas.openxmlformats.org/officeDocument/2006/relationships/hyperlink" Id="rId74" Target="https://doi.org/10.1561/2200000101" TargetMode="External" /><Relationship Type="http://schemas.openxmlformats.org/officeDocument/2006/relationships/hyperlink" Id="rId91" Target="https://doi.org/10.18653/v1/2024.findings-naacl.156" TargetMode="External" /><Relationship Type="http://schemas.openxmlformats.org/officeDocument/2006/relationships/hyperlink" Id="rId103" Target="https://doi.org/10.5281/zenodo.18133574" TargetMode="External" /><Relationship Type="http://schemas.openxmlformats.org/officeDocument/2006/relationships/hyperlink" Id="rId97" Target="https://github.com/Azure/PyRIT" TargetMode="External" /><Relationship Type="http://schemas.openxmlformats.org/officeDocument/2006/relationships/hyperlink" Id="rId21" Target="https://github.com/antnewman/verified-autonomy" TargetMode="External" /><Relationship Type="http://schemas.openxmlformats.org/officeDocument/2006/relationships/hyperlink" Id="rId105" Target="https://github.com/leondz/garak" TargetMode="External" /><Relationship Type="http://schemas.openxmlformats.org/officeDocument/2006/relationships/hyperlink" Id="rId100" Target="https://nvlpubs.nist.gov/nistpubs/ai/nist.ai.100-1.pdf" TargetMode="External" /><Relationship Type="http://schemas.openxmlformats.org/officeDocument/2006/relationships/hyperlink" Id="rId89" Target="https://proceedings.mlr.press/v70/guo17a.html" TargetMode="External" /><Relationship Type="http://schemas.openxmlformats.org/officeDocument/2006/relationships/hyperlink" Id="rId82" Target="https://static.usenix.org/event/sec09/tech/full_papers/crosby.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Verified Autonomy: A Field Guide to Engineering Trust in AI Systems</dc:title>
  <dc:creator>Ant Newman; Shanti Greene</dc:creator>
  <cp:keywords/>
  <dcterms:created xsi:type="dcterms:W3CDTF">2026-03-20T19:15:03Z</dcterms:created>
  <dcterms:modified xsi:type="dcterms:W3CDTF">2026-03-20T19:15:03Z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Production AI systems routinely report confidence scores that bear no reliable relationship to their actual probability of being correct. Downstream decisions—whether to auto-process or escalate, whether to discharge a patient, how to size a trading position—depend on these scores, yet no unified engineering framework exists for making them trustworthy.We present Verified Autonomy, a nine-layer defence-in-depth architecture for engineering trust into AI systems. Each layer addresses a specific failure mode: inverse confidence weighting surfaces the weakest signal in multi-field outputs; outlier detection treats statistical disagreement as a routing signal; a potential hallucinations list makes suspicious outputs visible rather than silently filtering them; conformal prediction provides the only confidence score with a formal coverage guarantee; deterministic guardrails enforce auditable policy; retrieval-augmented generation shifts trust from model intent to source facticity; adversarial testing finds failure modes before deployment; cryptographic audit trails prove what the system decided; and formal verification provides mathematical proofs for safety-critical components.The central argument is that trust is not a feature of any single technique—it is an emergent property of a layered architecture where each layer compensates for the failure modes of the others. We ground this argument in the Integrity Clash vulnerability (Nemecek et al. 2026), which demonstrates that independent verification layers that do not cross-validate each other create exploitable gaps.All nine layers are accompanied by open-source reference implementations (475 tests, 98–100% coverage) runnable in isolation with a single command. The field guide, code, and this paper are available at https://github.com/antnewman/verified-autonomy under CC BY 4.0 (content) and MIT (code).</vt:lpwstr>
  </property>
  <property fmtid="{D5CDD505-2E9C-101B-9397-08002B2CF9AE}" pid="3" name="bibliography">
    <vt:lpwstr>references.bib</vt:lpwstr>
  </property>
  <property fmtid="{D5CDD505-2E9C-101B-9397-08002B2CF9AE}" pid="4" name="date">
    <vt:lpwstr>April 2026</vt:lpwstr>
  </property>
</Properties>
</file>