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sz w:val="24"/>
          <w:szCs w:val="24"/>
        </w:rPr>
      </w:pPr>
      <w:r w:rsidDel="00000000" w:rsidR="00000000" w:rsidRPr="00000000">
        <w:rPr>
          <w:rFonts w:ascii="Inter" w:cs="Inter" w:eastAsia="Inter" w:hAnsi="Inter"/>
          <w:sz w:val="24"/>
          <w:szCs w:val="24"/>
          <w:rtl w:val="0"/>
        </w:rPr>
        <w:t xml:space="preserve">Loyoly n’est pas un simple programme de fidélité mais une plateforme d’engagement post-achat qui permet aux marques d’orchestrer toutes les interactions client, de la transaction jusqu’aux réseaux sociaux en passant par le retail. </w:t>
      </w:r>
    </w:p>
    <w:p w:rsidR="00000000" w:rsidDel="00000000" w:rsidP="00000000" w:rsidRDefault="00000000" w:rsidRPr="00000000" w14:paraId="00000002">
      <w:pPr>
        <w:rPr>
          <w:rFonts w:ascii="Inter" w:cs="Inter" w:eastAsia="Inter" w:hAnsi="Inter"/>
          <w:sz w:val="24"/>
          <w:szCs w:val="24"/>
        </w:rPr>
      </w:pPr>
      <w:r w:rsidDel="00000000" w:rsidR="00000000" w:rsidRPr="00000000">
        <w:rPr>
          <w:rFonts w:ascii="Inter" w:cs="Inter" w:eastAsia="Inter" w:hAnsi="Inter"/>
          <w:sz w:val="24"/>
          <w:szCs w:val="24"/>
          <w:rtl w:val="0"/>
        </w:rPr>
        <w:t xml:space="preserve">La solution repose sur quatre briques connectées entre elles : la fidélité et les statuts VIP, un moteur d’engagement avec plus de 40 mécaniques vérifiées (avis, contenus / UGC, abonnement sur les réseaux sociaux, partages, etc.), une carte dans le wallet mobile pour connecter online et magasins grâce à des notifications et des avantages en temps réel, et un module de parrainage.</w:t>
      </w:r>
    </w:p>
    <w:p w:rsidR="00000000" w:rsidDel="00000000" w:rsidP="00000000" w:rsidRDefault="00000000" w:rsidRPr="00000000" w14:paraId="0000000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4">
      <w:pPr>
        <w:rPr>
          <w:rFonts w:ascii="Inter" w:cs="Inter" w:eastAsia="Inter" w:hAnsi="Inter"/>
          <w:sz w:val="24"/>
          <w:szCs w:val="24"/>
        </w:rPr>
      </w:pPr>
      <w:r w:rsidDel="00000000" w:rsidR="00000000" w:rsidRPr="00000000">
        <w:rPr>
          <w:rFonts w:ascii="Inter" w:cs="Inter" w:eastAsia="Inter" w:hAnsi="Inter"/>
          <w:sz w:val="24"/>
          <w:szCs w:val="24"/>
          <w:rtl w:val="0"/>
        </w:rPr>
        <w:t xml:space="preserve">L’ensemble est piloté par un moteur d’automation avancé qui permet de créer des parcours sur mesure selon les comportements, les segments et les canaux, tout en étant connecté au stack marketing du client.</w:t>
      </w:r>
    </w:p>
    <w:p w:rsidR="00000000" w:rsidDel="00000000" w:rsidP="00000000" w:rsidRDefault="00000000" w:rsidRPr="00000000" w14:paraId="00000005">
      <w:pPr>
        <w:rPr>
          <w:rFonts w:ascii="Inter" w:cs="Inter" w:eastAsia="Inter" w:hAnsi="Inter"/>
          <w:sz w:val="24"/>
          <w:szCs w:val="24"/>
        </w:rPr>
      </w:pPr>
      <w:r w:rsidDel="00000000" w:rsidR="00000000" w:rsidRPr="00000000">
        <w:rPr>
          <w:rFonts w:ascii="Inter" w:cs="Inter" w:eastAsia="Inter" w:hAnsi="Inter"/>
          <w:sz w:val="24"/>
          <w:szCs w:val="24"/>
          <w:rtl w:val="0"/>
        </w:rPr>
        <w:t xml:space="preserve">Loyoly se positionne ainsi comme une plateforme omnicanale d’engagement client, plus digitale, sociale et relationnelle que les solutions de fidélité traditionnelles.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