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 feu vert DSI</w:t>
      </w:r>
    </w:p>
    <w:p>
      <w:r>
        <w:rPr>
          <w:b w:val="0"/>
        </w:rPr>
        <w:t>Bonus du Sprint de l’heure gagnée · Antoine Contino · version du 12 octobre 2026</w:t>
      </w:r>
    </w:p>
    <w:p>
      <w:r>
        <w:rPr>
          <w:b w:val="0"/>
        </w:rPr>
        <w:t>Ce kit donne à votre DSI, ou à la personne qui gère l’informatique, de quoi valider l’usage de l’IA avant la journée. Il contient quatre pièces :</w:t>
      </w:r>
    </w:p>
    <w:p>
      <w:pPr>
        <w:ind w:left="510" w:hanging="340"/>
      </w:pPr>
      <w:r>
        <w:rPr>
          <w:b w:val="0"/>
        </w:rPr>
        <w:t>1. la charte d’usage de l’IA, à adapter puis à signer ;</w:t>
      </w:r>
    </w:p>
    <w:p>
      <w:pPr>
        <w:ind w:left="510" w:hanging="340"/>
      </w:pPr>
      <w:r>
        <w:rPr>
          <w:b w:val="0"/>
        </w:rPr>
        <w:t>2. la fiche d’anonymisation, à garder près du poste ;</w:t>
      </w:r>
    </w:p>
    <w:p>
      <w:pPr>
        <w:ind w:left="510" w:hanging="340"/>
      </w:pPr>
      <w:r>
        <w:rPr>
          <w:b w:val="0"/>
        </w:rPr>
        <w:t>3. les réglages à vérifier dans l’outil choisi ;</w:t>
      </w:r>
    </w:p>
    <w:p>
      <w:pPr>
        <w:ind w:left="510" w:hanging="340"/>
      </w:pPr>
      <w:r>
        <w:rPr>
          <w:b w:val="0"/>
        </w:rPr>
        <w:t>4. la fiche de validation, à renvoyer signée avant la journée.</w:t>
      </w:r>
    </w:p>
    <w:p>
      <w:r>
        <w:rPr>
          <w:b w:val="0"/>
        </w:rPr>
        <w:t>Une cinquième partie résume le cadre légal. Remplacez les passages entre crochets [ ] par vos informations.</w:t>
      </w:r>
    </w:p>
    <w:p>
      <w:pPr>
        <w:pStyle w:val="Heading2"/>
      </w:pPr>
      <w:r>
        <w:t>1. Charte d’usage de l’IA de [nom de l’entreprise]</w:t>
      </w:r>
    </w:p>
    <w:p>
      <w:r>
        <w:rPr>
          <w:b w:val="0"/>
        </w:rPr>
        <w:t>En vigueur à partir du [date]. Validée par [nom, fonction].</w:t>
      </w:r>
    </w:p>
    <w:p>
      <w:pPr>
        <w:pStyle w:val="Heading3"/>
      </w:pPr>
      <w:r>
        <w:t>Article 1. Objet</w:t>
      </w:r>
    </w:p>
    <w:p>
      <w:r>
        <w:rPr>
          <w:b w:val="0"/>
        </w:rPr>
        <w:t>Cette charte fixe les règles d’usage des outils d’intelligence artificielle générative chez [nom de l’entreprise]. Elle s’applique à toute personne qui se sert de ces outils pour son travail.</w:t>
      </w:r>
    </w:p>
    <w:p>
      <w:pPr>
        <w:pStyle w:val="Heading3"/>
      </w:pPr>
      <w:r>
        <w:t>Article 2. Outils autorisés</w:t>
      </w:r>
    </w:p>
    <w:p>
      <w:r>
        <w:rPr>
          <w:b w:val="0"/>
        </w:rPr>
        <w:t>Les outils autorisés figurent dans ce tableau. Chacun s’utilise avec un compte au nom de l’entreprise.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0E1A2B"/>
          </w:tcPr>
          <w:p>
            <w:r>
              <w:rPr>
                <w:b/>
                <w:color w:val="FFFFFF"/>
                <w:sz w:val="20"/>
              </w:rPr>
            </w:r>
            <w:r>
              <w:rPr>
                <w:b/>
                <w:color w:val="FFFFFF"/>
                <w:sz w:val="20"/>
              </w:rPr>
              <w:t>Outil</w:t>
            </w:r>
          </w:p>
        </w:tc>
        <w:tc>
          <w:tcPr>
            <w:tcW w:type="dxa" w:w="2436"/>
            <w:shd w:val="clear" w:color="auto" w:fill="0E1A2B"/>
          </w:tcPr>
          <w:p>
            <w:r>
              <w:rPr>
                <w:b/>
                <w:color w:val="FFFFFF"/>
                <w:sz w:val="20"/>
              </w:rPr>
            </w:r>
            <w:r>
              <w:rPr>
                <w:b/>
                <w:color w:val="FFFFFF"/>
                <w:sz w:val="20"/>
              </w:rPr>
              <w:t>Formule</w:t>
            </w:r>
          </w:p>
        </w:tc>
        <w:tc>
          <w:tcPr>
            <w:tcW w:type="dxa" w:w="2436"/>
            <w:shd w:val="clear" w:color="auto" w:fill="0E1A2B"/>
          </w:tcPr>
          <w:p>
            <w:r>
              <w:rPr>
                <w:b/>
                <w:color w:val="FFFFFF"/>
                <w:sz w:val="20"/>
              </w:rPr>
            </w:r>
            <w:r>
              <w:rPr>
                <w:b/>
                <w:color w:val="FFFFFF"/>
                <w:sz w:val="20"/>
              </w:rPr>
              <w:t>Compte géré par</w:t>
            </w:r>
          </w:p>
        </w:tc>
        <w:tc>
          <w:tcPr>
            <w:tcW w:type="dxa" w:w="2436"/>
            <w:shd w:val="clear" w:color="auto" w:fill="0E1A2B"/>
          </w:tcPr>
          <w:p>
            <w:r>
              <w:rPr>
                <w:b/>
                <w:color w:val="FFFFFF"/>
                <w:sz w:val="20"/>
              </w:rPr>
            </w:r>
            <w:r>
              <w:rPr>
                <w:b/>
                <w:color w:val="FFFFFF"/>
                <w:sz w:val="20"/>
              </w:rPr>
              <w:t>Date de validation</w:t>
            </w:r>
          </w:p>
        </w:tc>
      </w:tr>
      <w:tr>
        <w:tc>
          <w:tcPr>
            <w:tcW w:type="dxa" w:w="2436"/>
          </w:tcPr>
          <w:p>
            <w:r>
              <w:rPr>
                <w:sz w:val="20"/>
              </w:rPr>
            </w:r>
            <w:r>
              <w:rPr>
                <w:b w:val="0"/>
                <w:sz w:val="20"/>
              </w:rPr>
              <w:t>[ ]</w:t>
            </w:r>
          </w:p>
        </w:tc>
        <w:tc>
          <w:tcPr>
            <w:tcW w:type="dxa" w:w="2436"/>
          </w:tcPr>
          <w:p>
            <w:r>
              <w:rPr>
                <w:sz w:val="20"/>
              </w:rPr>
            </w:r>
            <w:r>
              <w:rPr>
                <w:b w:val="0"/>
                <w:sz w:val="20"/>
              </w:rPr>
              <w:t>[ ]</w:t>
            </w:r>
          </w:p>
        </w:tc>
        <w:tc>
          <w:tcPr>
            <w:tcW w:type="dxa" w:w="2436"/>
          </w:tcPr>
          <w:p>
            <w:r>
              <w:rPr>
                <w:sz w:val="20"/>
              </w:rPr>
            </w:r>
            <w:r>
              <w:rPr>
                <w:b w:val="0"/>
                <w:sz w:val="20"/>
              </w:rPr>
              <w:t>[ ]</w:t>
            </w:r>
          </w:p>
        </w:tc>
        <w:tc>
          <w:tcPr>
            <w:tcW w:type="dxa" w:w="2436"/>
          </w:tcPr>
          <w:p>
            <w:r>
              <w:rPr>
                <w:sz w:val="20"/>
              </w:rPr>
            </w:r>
            <w:r>
              <w:rPr>
                <w:b w:val="0"/>
                <w:sz w:val="20"/>
              </w:rPr>
              <w:t>[ ]</w:t>
            </w:r>
          </w:p>
        </w:tc>
      </w:tr>
      <w:tr>
        <w:tc>
          <w:tcPr>
            <w:tcW w:type="dxa" w:w="2436"/>
          </w:tcPr>
          <w:p>
            <w:r>
              <w:rPr>
                <w:sz w:val="20"/>
              </w:rPr>
            </w:r>
            <w:r>
              <w:rPr>
                <w:b w:val="0"/>
                <w:sz w:val="20"/>
              </w:rPr>
              <w:t>[ ]</w:t>
            </w:r>
          </w:p>
        </w:tc>
        <w:tc>
          <w:tcPr>
            <w:tcW w:type="dxa" w:w="2436"/>
          </w:tcPr>
          <w:p>
            <w:r>
              <w:rPr>
                <w:sz w:val="20"/>
              </w:rPr>
            </w:r>
            <w:r>
              <w:rPr>
                <w:b w:val="0"/>
                <w:sz w:val="20"/>
              </w:rPr>
              <w:t>[ ]</w:t>
            </w:r>
          </w:p>
        </w:tc>
        <w:tc>
          <w:tcPr>
            <w:tcW w:type="dxa" w:w="2436"/>
          </w:tcPr>
          <w:p>
            <w:r>
              <w:rPr>
                <w:sz w:val="20"/>
              </w:rPr>
            </w:r>
            <w:r>
              <w:rPr>
                <w:b w:val="0"/>
                <w:sz w:val="20"/>
              </w:rPr>
              <w:t>[ ]</w:t>
            </w:r>
          </w:p>
        </w:tc>
        <w:tc>
          <w:tcPr>
            <w:tcW w:type="dxa" w:w="2436"/>
          </w:tcPr>
          <w:p>
            <w:r>
              <w:rPr>
                <w:sz w:val="20"/>
              </w:rPr>
            </w:r>
            <w:r>
              <w:rPr>
                <w:b w:val="0"/>
                <w:sz w:val="20"/>
              </w:rPr>
              <w:t>[ ]</w:t>
            </w:r>
          </w:p>
        </w:tc>
      </w:tr>
    </w:tbl>
    <w:p/>
    <w:p>
      <w:r>
        <w:rPr>
          <w:b w:val="0"/>
        </w:rPr>
        <w:t>Un outil absent du tableau reste interdit jusqu’à sa validation par [DSI ou direction].</w:t>
      </w:r>
    </w:p>
    <w:p>
      <w:pPr>
        <w:pStyle w:val="Heading3"/>
      </w:pPr>
      <w:r>
        <w:t>Article 3. Usages autorisés</w:t>
      </w:r>
    </w:p>
    <w:p>
      <w:pPr>
        <w:pStyle w:val="ListBullet"/>
      </w:pPr>
      <w:r>
        <w:rPr>
          <w:b w:val="0"/>
        </w:rPr>
        <w:t>Préparer un premier jet : devis, réponse à un client, compte rendu, fiche, procédure.</w:t>
      </w:r>
    </w:p>
    <w:p>
      <w:pPr>
        <w:pStyle w:val="ListBullet"/>
      </w:pPr>
      <w:r>
        <w:rPr>
          <w:b w:val="0"/>
        </w:rPr>
        <w:t>Résumer ou reformuler un document anonymisé.</w:t>
      </w:r>
    </w:p>
    <w:p>
      <w:pPr>
        <w:pStyle w:val="ListBullet"/>
      </w:pPr>
      <w:r>
        <w:rPr>
          <w:b w:val="0"/>
        </w:rPr>
        <w:t>Structurer des idées ou préparer une réunion.</w:t>
      </w:r>
    </w:p>
    <w:p>
      <w:pPr>
        <w:pStyle w:val="ListBullet"/>
      </w:pPr>
      <w:r>
        <w:rPr>
          <w:b w:val="0"/>
        </w:rPr>
        <w:t>Chercher une formulation ou une méthode.</w:t>
      </w:r>
    </w:p>
    <w:p>
      <w:pPr>
        <w:pStyle w:val="Heading3"/>
      </w:pPr>
      <w:r>
        <w:t>Article 4. Données interdites dans l’outil</w:t>
      </w:r>
    </w:p>
    <w:p>
      <w:r>
        <w:rPr>
          <w:b w:val="0"/>
        </w:rPr>
        <w:t>Ces données n’entrent jamais dans un outil d’IA, même en partie :</w:t>
      </w:r>
    </w:p>
    <w:p>
      <w:pPr>
        <w:pStyle w:val="ListBullet"/>
      </w:pPr>
      <w:r>
        <w:rPr>
          <w:b w:val="0"/>
        </w:rPr>
        <w:t>les mots de passe et les codes d’accès ;</w:t>
      </w:r>
    </w:p>
    <w:p>
      <w:pPr>
        <w:pStyle w:val="ListBullet"/>
      </w:pPr>
      <w:r>
        <w:rPr>
          <w:b w:val="0"/>
        </w:rPr>
        <w:t>les coordonnées bancaires et les numéros de carte ;</w:t>
      </w:r>
    </w:p>
    <w:p>
      <w:pPr>
        <w:pStyle w:val="ListBullet"/>
      </w:pPr>
      <w:r>
        <w:rPr>
          <w:b w:val="0"/>
        </w:rPr>
        <w:t>les données de santé et les données sociales des salariés ;</w:t>
      </w:r>
    </w:p>
    <w:p>
      <w:pPr>
        <w:pStyle w:val="ListBullet"/>
      </w:pPr>
      <w:r>
        <w:rPr>
          <w:b w:val="0"/>
        </w:rPr>
        <w:t>les documents d’un client dont le contrat interdit la transmission à un outil tiers ;</w:t>
      </w:r>
    </w:p>
    <w:p>
      <w:pPr>
        <w:pStyle w:val="ListBullet"/>
      </w:pPr>
      <w:r>
        <w:rPr>
          <w:b w:val="0"/>
        </w:rPr>
        <w:t>[vos propres cas : plans, secrets de fabrication, prix d’achat].</w:t>
      </w:r>
    </w:p>
    <w:p>
      <w:pPr>
        <w:pStyle w:val="Heading3"/>
      </w:pPr>
      <w:r>
        <w:t>Article 5. Anonymisation</w:t>
      </w:r>
    </w:p>
    <w:p>
      <w:r>
        <w:rPr>
          <w:b w:val="0"/>
        </w:rPr>
        <w:t>Les autres documents entrent dans l’outil après anonymisation, selon la fiche d’anonymisation de ce kit. Rien de ce qui permet de reconnaître une personne ou une entreprise n’entre dans l’outil.</w:t>
      </w:r>
    </w:p>
    <w:p>
      <w:pPr>
        <w:pStyle w:val="Heading3"/>
      </w:pPr>
      <w:r>
        <w:t>Article 6. Relecture</w:t>
      </w:r>
    </w:p>
    <w:p>
      <w:r>
        <w:rPr>
          <w:b w:val="0"/>
        </w:rPr>
        <w:t>Chaque texte produit par l’IA est relu par la personne qui s’en sert avant tout envoi. Cette personne reste responsable de ce qu’elle envoie. L’IA prépare et la personne décide.</w:t>
      </w:r>
    </w:p>
    <w:p>
      <w:pPr>
        <w:pStyle w:val="Heading3"/>
      </w:pPr>
      <w:r>
        <w:t>Article 7. Comptes</w:t>
      </w:r>
    </w:p>
    <w:p>
      <w:r>
        <w:rPr>
          <w:b w:val="0"/>
        </w:rPr>
        <w:t>Chaque personne utilise son compte nominatif. [DSI] crée et ferme les comptes. Au départ d’un salarié, son compte est fermé et ses outils passent à [responsable].</w:t>
      </w:r>
    </w:p>
    <w:p>
      <w:pPr>
        <w:pStyle w:val="Heading3"/>
      </w:pPr>
      <w:r>
        <w:t>Article 8. Incident</w:t>
      </w:r>
    </w:p>
    <w:p>
      <w:r>
        <w:rPr>
          <w:b w:val="0"/>
        </w:rPr>
        <w:t>Une donnée interdite est entrée dans l’outil par erreur : la personne prévient [contact] le jour même. [Contact] supprime la conversation et note l’incident.</w:t>
      </w:r>
    </w:p>
    <w:p>
      <w:r>
        <w:rPr>
          <w:b w:val="0"/>
        </w:rPr>
        <w:t>Si la donnée concerne une personne, [contact] évalue avec la direction s’il faut prévenir la CNIL. Le délai est de 72 heures après la découverte de l’incident (article 33 du RGPD).</w:t>
      </w:r>
    </w:p>
    <w:p>
      <w:pPr>
        <w:pStyle w:val="Heading3"/>
      </w:pPr>
      <w:r>
        <w:t>Article 9. Formation</w:t>
      </w:r>
    </w:p>
    <w:p>
      <w:r>
        <w:rPr>
          <w:b w:val="0"/>
        </w:rPr>
        <w:t>Chaque utilisateur suit une formation à l’usage de l’IA avant de se servir d’un outil autorisé. [Nom de l’entreprise] garde la trace de ces formations.</w:t>
      </w:r>
    </w:p>
    <w:p>
      <w:r>
        <w:rPr>
          <w:b w:val="0"/>
        </w:rPr>
        <w:t>Fait à [ville], le [date].</w:t>
      </w:r>
    </w:p>
    <w:p>
      <w:r>
        <w:rPr>
          <w:b w:val="0"/>
        </w:rPr>
        <w:t>Pour [nom de l’entreprise] : [nom, fonction, signature]</w:t>
      </w:r>
    </w:p>
    <w:p>
      <w:pPr>
        <w:pStyle w:val="Heading2"/>
      </w:pPr>
      <w:r>
        <w:t>2. Fiche d’anonymisation</w:t>
      </w:r>
    </w:p>
    <w:p>
      <w:pPr>
        <w:pStyle w:val="Heading3"/>
      </w:pPr>
      <w:r>
        <w:t>La règle</w:t>
      </w:r>
    </w:p>
    <w:p>
      <w:r>
        <w:rPr>
          <w:b w:val="0"/>
        </w:rPr>
        <w:t>Avant de coller un texte dans l’outil, remplacez tout ce qui permet de reconnaître une personne ou une entreprise par un repère entre crochets.</w:t>
      </w:r>
    </w:p>
    <w:p>
      <w:pPr>
        <w:pStyle w:val="Heading3"/>
      </w:pPr>
      <w:r>
        <w:t>Ce qu’on remplace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E1A2B"/>
          </w:tcPr>
          <w:p>
            <w:r>
              <w:rPr>
                <w:b/>
                <w:color w:val="FFFFFF"/>
                <w:sz w:val="20"/>
              </w:rPr>
            </w:r>
            <w:r>
              <w:rPr>
                <w:b/>
                <w:color w:val="FFFFFF"/>
                <w:sz w:val="20"/>
              </w:rPr>
              <w:t>Dans le document</w:t>
            </w:r>
          </w:p>
        </w:tc>
        <w:tc>
          <w:tcPr>
            <w:tcW w:type="dxa" w:w="4873"/>
            <w:shd w:val="clear" w:color="auto" w:fill="0E1A2B"/>
          </w:tcPr>
          <w:p>
            <w:r>
              <w:rPr>
                <w:b/>
                <w:color w:val="FFFFFF"/>
                <w:sz w:val="20"/>
              </w:rPr>
            </w:r>
            <w:r>
              <w:rPr>
                <w:b/>
                <w:color w:val="FFFFFF"/>
                <w:sz w:val="20"/>
              </w:rPr>
              <w:t>Repère à mettre</w:t>
            </w:r>
          </w:p>
        </w:tc>
      </w:tr>
      <w:tr>
        <w:tc>
          <w:tcPr>
            <w:tcW w:type="dxa" w:w="4873"/>
          </w:tcPr>
          <w:p>
            <w:r>
              <w:rPr>
                <w:sz w:val="20"/>
              </w:rPr>
            </w:r>
            <w:r>
              <w:rPr>
                <w:b w:val="0"/>
                <w:sz w:val="20"/>
              </w:rPr>
              <w:t>Nom d’un client</w:t>
            </w:r>
          </w:p>
        </w:tc>
        <w:tc>
          <w:tcPr>
            <w:tcW w:type="dxa" w:w="4873"/>
          </w:tcPr>
          <w:p>
            <w:r>
              <w:rPr>
                <w:sz w:val="20"/>
              </w:rPr>
            </w:r>
            <w:r>
              <w:rPr>
                <w:b w:val="0"/>
                <w:sz w:val="20"/>
              </w:rPr>
              <w:t>[CLIENT A], [CLIENT B]</w:t>
            </w:r>
          </w:p>
        </w:tc>
      </w:tr>
      <w:tr>
        <w:tc>
          <w:tcPr>
            <w:tcW w:type="dxa" w:w="4873"/>
          </w:tcPr>
          <w:p>
            <w:r>
              <w:rPr>
                <w:sz w:val="20"/>
              </w:rPr>
            </w:r>
            <w:r>
              <w:rPr>
                <w:b w:val="0"/>
                <w:sz w:val="20"/>
              </w:rPr>
              <w:t>Nom d’une personne</w:t>
            </w:r>
          </w:p>
        </w:tc>
        <w:tc>
          <w:tcPr>
            <w:tcW w:type="dxa" w:w="4873"/>
          </w:tcPr>
          <w:p>
            <w:r>
              <w:rPr>
                <w:sz w:val="20"/>
              </w:rPr>
            </w:r>
            <w:r>
              <w:rPr>
                <w:b w:val="0"/>
                <w:sz w:val="20"/>
              </w:rPr>
              <w:t>[PERSONNE 1], [PERSONNE 2]</w:t>
            </w:r>
          </w:p>
        </w:tc>
      </w:tr>
      <w:tr>
        <w:tc>
          <w:tcPr>
            <w:tcW w:type="dxa" w:w="4873"/>
          </w:tcPr>
          <w:p>
            <w:r>
              <w:rPr>
                <w:sz w:val="20"/>
              </w:rPr>
            </w:r>
            <w:r>
              <w:rPr>
                <w:b w:val="0"/>
                <w:sz w:val="20"/>
              </w:rPr>
              <w:t>Nom d’un fournisseur</w:t>
            </w:r>
          </w:p>
        </w:tc>
        <w:tc>
          <w:tcPr>
            <w:tcW w:type="dxa" w:w="4873"/>
          </w:tcPr>
          <w:p>
            <w:r>
              <w:rPr>
                <w:sz w:val="20"/>
              </w:rPr>
            </w:r>
            <w:r>
              <w:rPr>
                <w:b w:val="0"/>
                <w:sz w:val="20"/>
              </w:rPr>
              <w:t>[FOURNISSEUR A]</w:t>
            </w:r>
          </w:p>
        </w:tc>
      </w:tr>
      <w:tr>
        <w:tc>
          <w:tcPr>
            <w:tcW w:type="dxa" w:w="4873"/>
          </w:tcPr>
          <w:p>
            <w:r>
              <w:rPr>
                <w:sz w:val="20"/>
              </w:rPr>
            </w:r>
            <w:r>
              <w:rPr>
                <w:b w:val="0"/>
                <w:sz w:val="20"/>
              </w:rPr>
              <w:t>Adresse ou ville précise</w:t>
            </w:r>
          </w:p>
        </w:tc>
        <w:tc>
          <w:tcPr>
            <w:tcW w:type="dxa" w:w="4873"/>
          </w:tcPr>
          <w:p>
            <w:r>
              <w:rPr>
                <w:sz w:val="20"/>
              </w:rPr>
            </w:r>
            <w:r>
              <w:rPr>
                <w:b w:val="0"/>
                <w:sz w:val="20"/>
              </w:rPr>
              <w:t>[ADRESSE], [VILLE]</w:t>
            </w:r>
          </w:p>
        </w:tc>
      </w:tr>
      <w:tr>
        <w:tc>
          <w:tcPr>
            <w:tcW w:type="dxa" w:w="4873"/>
          </w:tcPr>
          <w:p>
            <w:r>
              <w:rPr>
                <w:sz w:val="20"/>
              </w:rPr>
            </w:r>
            <w:r>
              <w:rPr>
                <w:b w:val="0"/>
                <w:sz w:val="20"/>
              </w:rPr>
              <w:t>Téléphone ou e-mail</w:t>
            </w:r>
          </w:p>
        </w:tc>
        <w:tc>
          <w:tcPr>
            <w:tcW w:type="dxa" w:w="4873"/>
          </w:tcPr>
          <w:p>
            <w:r>
              <w:rPr>
                <w:sz w:val="20"/>
              </w:rPr>
            </w:r>
            <w:r>
              <w:rPr>
                <w:b w:val="0"/>
                <w:sz w:val="20"/>
              </w:rPr>
              <w:t>[TÉLÉPHONE], [E-MAIL]</w:t>
            </w:r>
          </w:p>
        </w:tc>
      </w:tr>
      <w:tr>
        <w:tc>
          <w:tcPr>
            <w:tcW w:type="dxa" w:w="4873"/>
          </w:tcPr>
          <w:p>
            <w:r>
              <w:rPr>
                <w:sz w:val="20"/>
              </w:rPr>
            </w:r>
            <w:r>
              <w:rPr>
                <w:b w:val="0"/>
                <w:sz w:val="20"/>
              </w:rPr>
              <w:t>Numéro de commande ou de contrat</w:t>
            </w:r>
          </w:p>
        </w:tc>
        <w:tc>
          <w:tcPr>
            <w:tcW w:type="dxa" w:w="4873"/>
          </w:tcPr>
          <w:p>
            <w:r>
              <w:rPr>
                <w:sz w:val="20"/>
              </w:rPr>
            </w:r>
            <w:r>
              <w:rPr>
                <w:b w:val="0"/>
                <w:sz w:val="20"/>
              </w:rPr>
              <w:t>[N° COMMANDE], [N° CONTRAT]</w:t>
            </w:r>
          </w:p>
        </w:tc>
      </w:tr>
      <w:tr>
        <w:tc>
          <w:tcPr>
            <w:tcW w:type="dxa" w:w="4873"/>
          </w:tcPr>
          <w:p>
            <w:r>
              <w:rPr>
                <w:sz w:val="20"/>
              </w:rPr>
            </w:r>
            <w:r>
              <w:rPr>
                <w:b w:val="0"/>
                <w:sz w:val="20"/>
              </w:rPr>
              <w:t>SIRET ou numéro de TVA</w:t>
            </w:r>
          </w:p>
        </w:tc>
        <w:tc>
          <w:tcPr>
            <w:tcW w:type="dxa" w:w="4873"/>
          </w:tcPr>
          <w:p>
            <w:r>
              <w:rPr>
                <w:sz w:val="20"/>
              </w:rPr>
            </w:r>
            <w:r>
              <w:rPr>
                <w:b w:val="0"/>
                <w:sz w:val="20"/>
              </w:rPr>
              <w:t>[SIRET]</w:t>
            </w:r>
          </w:p>
        </w:tc>
      </w:tr>
      <w:tr>
        <w:tc>
          <w:tcPr>
            <w:tcW w:type="dxa" w:w="4873"/>
          </w:tcPr>
          <w:p>
            <w:r>
              <w:rPr>
                <w:sz w:val="20"/>
              </w:rPr>
            </w:r>
            <w:r>
              <w:rPr>
                <w:b w:val="0"/>
                <w:sz w:val="20"/>
              </w:rPr>
              <w:t>Montant sensible</w:t>
            </w:r>
          </w:p>
        </w:tc>
        <w:tc>
          <w:tcPr>
            <w:tcW w:type="dxa" w:w="4873"/>
          </w:tcPr>
          <w:p>
            <w:r>
              <w:rPr>
                <w:sz w:val="20"/>
              </w:rPr>
            </w:r>
            <w:r>
              <w:rPr>
                <w:b w:val="0"/>
                <w:sz w:val="20"/>
              </w:rPr>
              <w:t>[MONTANT] ou un ordre de grandeur</w:t>
            </w:r>
          </w:p>
        </w:tc>
      </w:tr>
    </w:tbl>
    <w:p/>
    <w:p>
      <w:pPr>
        <w:pStyle w:val="Heading3"/>
      </w:pPr>
      <w:r>
        <w:t>La table de correspondance</w:t>
      </w:r>
    </w:p>
    <w:p>
      <w:r>
        <w:rPr>
          <w:b w:val="0"/>
        </w:rPr>
        <w:t>Gardez la liste des repères dans un fichier à part, hors de l’outil d’IA : [CLIENT A] = le vrai nom. Remettez les vrais noms dans le texte final après la relecture.</w:t>
      </w:r>
    </w:p>
    <w:p>
      <w:pPr>
        <w:pStyle w:val="Heading3"/>
      </w:pPr>
      <w:r>
        <w:t>Exemple fictif</w:t>
      </w:r>
    </w:p>
    <w:p>
      <w:r>
        <w:rPr>
          <w:b w:val="0"/>
        </w:rPr>
        <w:t>Avant :</w:t>
      </w:r>
    </w:p>
    <w:p>
      <w:pPr>
        <w:ind w:left="567"/>
      </w:pPr>
      <w:r>
        <w:rPr>
          <w:b w:val="0"/>
          <w:i/>
          <w:color w:val="526076"/>
        </w:rPr>
        <w:t>Bonjour Monsieur Durand, suite à notre visite du 3 mars dans votre garage de Golbey, voici le devis n° 2026-118 pour la reprise des 12 sièges.</w:t>
      </w:r>
    </w:p>
    <w:p>
      <w:r>
        <w:rPr>
          <w:b w:val="0"/>
        </w:rPr>
        <w:t>Après :</w:t>
      </w:r>
    </w:p>
    <w:p>
      <w:pPr>
        <w:ind w:left="567"/>
      </w:pPr>
      <w:r>
        <w:rPr>
          <w:b w:val="0"/>
          <w:i/>
          <w:color w:val="526076"/>
        </w:rPr>
        <w:t>Bonjour [PERSONNE 1], suite à notre visite du [DATE] dans votre garage de [VILLE], voici le devis n° [N° DEVIS] pour la reprise des 12 sièges.</w:t>
      </w:r>
    </w:p>
    <w:p>
      <w:r>
        <w:rPr>
          <w:b w:val="0"/>
        </w:rPr>
        <w:t>Le nombre de sièges reste : il ne permet de reconnaître personne et l’IA en a besoin.</w:t>
      </w:r>
    </w:p>
    <w:p>
      <w:pPr>
        <w:pStyle w:val="Heading3"/>
      </w:pPr>
      <w:r>
        <w:t>Les quatre questions avant de coller</w:t>
      </w:r>
    </w:p>
    <w:p>
      <w:pPr>
        <w:ind w:left="510" w:hanging="340"/>
      </w:pPr>
      <w:r>
        <w:rPr>
          <w:b w:val="0"/>
        </w:rPr>
        <w:t>1. Un nom de personne reste-t-il dans le texte ?</w:t>
      </w:r>
    </w:p>
    <w:p>
      <w:pPr>
        <w:ind w:left="510" w:hanging="340"/>
      </w:pPr>
      <w:r>
        <w:rPr>
          <w:b w:val="0"/>
        </w:rPr>
        <w:t>2. Un nom d’entreprise reste-t-il dans le texte ?</w:t>
      </w:r>
    </w:p>
    <w:p>
      <w:pPr>
        <w:ind w:left="510" w:hanging="340"/>
      </w:pPr>
      <w:r>
        <w:rPr>
          <w:b w:val="0"/>
        </w:rPr>
        <w:t>3. Un numéro permet-il de retrouver le dossier ?</w:t>
      </w:r>
    </w:p>
    <w:p>
      <w:pPr>
        <w:ind w:left="510" w:hanging="340"/>
      </w:pPr>
      <w:r>
        <w:rPr>
          <w:b w:val="0"/>
        </w:rPr>
        <w:t>4. Le texte contient-il une donnée interdite par l’article 4 de la charte ?</w:t>
      </w:r>
    </w:p>
    <w:p>
      <w:r>
        <w:rPr>
          <w:b w:val="0"/>
        </w:rPr>
        <w:t>Quatre non : vous pouvez coller.</w:t>
      </w:r>
    </w:p>
    <w:p>
      <w:pPr>
        <w:pStyle w:val="Heading2"/>
      </w:pPr>
      <w:r>
        <w:t>3. Réglages à vérifier dans l’outil</w:t>
      </w:r>
    </w:p>
    <w:p>
      <w:r>
        <w:rPr>
          <w:b w:val="0"/>
        </w:rPr>
        <w:t>Les menus des outils changent souvent. Vérifiez ces réglages le jour de l’installation et notez la date.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0E1A2B"/>
          </w:tcPr>
          <w:p>
            <w:r>
              <w:rPr>
                <w:b/>
                <w:color w:val="FFFFFF"/>
                <w:sz w:val="20"/>
              </w:rPr>
            </w:r>
            <w:r>
              <w:rPr>
                <w:b/>
                <w:color w:val="FFFFFF"/>
                <w:sz w:val="20"/>
              </w:rPr>
              <w:t>Réglage</w:t>
            </w:r>
          </w:p>
        </w:tc>
        <w:tc>
          <w:tcPr>
            <w:tcW w:type="dxa" w:w="2436"/>
            <w:shd w:val="clear" w:color="auto" w:fill="0E1A2B"/>
          </w:tcPr>
          <w:p>
            <w:r>
              <w:rPr>
                <w:b/>
                <w:color w:val="FFFFFF"/>
                <w:sz w:val="20"/>
              </w:rPr>
            </w:r>
            <w:r>
              <w:rPr>
                <w:b/>
                <w:color w:val="FFFFFF"/>
                <w:sz w:val="20"/>
              </w:rPr>
              <w:t>Ce qu’on attend</w:t>
            </w:r>
          </w:p>
        </w:tc>
        <w:tc>
          <w:tcPr>
            <w:tcW w:type="dxa" w:w="2436"/>
            <w:shd w:val="clear" w:color="auto" w:fill="0E1A2B"/>
          </w:tcPr>
          <w:p>
            <w:r>
              <w:rPr>
                <w:b/>
                <w:color w:val="FFFFFF"/>
                <w:sz w:val="20"/>
              </w:rPr>
            </w:r>
            <w:r>
              <w:rPr>
                <w:b/>
                <w:color w:val="FFFFFF"/>
                <w:sz w:val="20"/>
              </w:rPr>
              <w:t>Vérifié le</w:t>
            </w:r>
          </w:p>
        </w:tc>
        <w:tc>
          <w:tcPr>
            <w:tcW w:type="dxa" w:w="2436"/>
            <w:shd w:val="clear" w:color="auto" w:fill="0E1A2B"/>
          </w:tcPr>
          <w:p>
            <w:r>
              <w:rPr>
                <w:b/>
                <w:color w:val="FFFFFF"/>
                <w:sz w:val="20"/>
              </w:rPr>
            </w:r>
            <w:r>
              <w:rPr>
                <w:b/>
                <w:color w:val="FFFFFF"/>
                <w:sz w:val="20"/>
              </w:rPr>
              <w:t>Par</w:t>
            </w:r>
          </w:p>
        </w:tc>
      </w:tr>
      <w:tr>
        <w:tc>
          <w:tcPr>
            <w:tcW w:type="dxa" w:w="2436"/>
          </w:tcPr>
          <w:p>
            <w:r>
              <w:rPr>
                <w:sz w:val="20"/>
              </w:rPr>
            </w:r>
            <w:r>
              <w:rPr>
                <w:b w:val="0"/>
                <w:sz w:val="20"/>
              </w:rPr>
              <w:t>Usage des conversations pour entraîner les modèles</w:t>
            </w:r>
          </w:p>
        </w:tc>
        <w:tc>
          <w:tcPr>
            <w:tcW w:type="dxa" w:w="2436"/>
          </w:tcPr>
          <w:p>
            <w:r>
              <w:rPr>
                <w:sz w:val="20"/>
              </w:rPr>
            </w:r>
            <w:r>
              <w:rPr>
                <w:b w:val="0"/>
                <w:sz w:val="20"/>
              </w:rPr>
              <w:t>Coupé dans les paramètres, ou exclu par le contrat</w:t>
            </w:r>
          </w:p>
        </w:tc>
        <w:tc>
          <w:tcPr>
            <w:tcW w:type="dxa" w:w="2436"/>
          </w:tcPr>
          <w:p>
            <w:r>
              <w:rPr>
                <w:sz w:val="20"/>
              </w:rPr>
            </w:r>
          </w:p>
        </w:tc>
        <w:tc>
          <w:tcPr>
            <w:tcW w:type="dxa" w:w="2436"/>
          </w:tcPr>
          <w:p>
            <w:r>
              <w:rPr>
                <w:sz w:val="20"/>
              </w:rPr>
            </w:r>
          </w:p>
        </w:tc>
      </w:tr>
      <w:tr>
        <w:tc>
          <w:tcPr>
            <w:tcW w:type="dxa" w:w="2436"/>
          </w:tcPr>
          <w:p>
            <w:r>
              <w:rPr>
                <w:sz w:val="20"/>
              </w:rPr>
            </w:r>
            <w:r>
              <w:rPr>
                <w:b w:val="0"/>
                <w:sz w:val="20"/>
              </w:rPr>
              <w:t>Type de compte</w:t>
            </w:r>
          </w:p>
        </w:tc>
        <w:tc>
          <w:tcPr>
            <w:tcW w:type="dxa" w:w="2436"/>
          </w:tcPr>
          <w:p>
            <w:r>
              <w:rPr>
                <w:sz w:val="20"/>
              </w:rPr>
            </w:r>
            <w:r>
              <w:rPr>
                <w:b w:val="0"/>
                <w:sz w:val="20"/>
              </w:rPr>
              <w:t>Formule équipe ou entreprise, au nom de l’entreprise</w:t>
            </w:r>
          </w:p>
        </w:tc>
        <w:tc>
          <w:tcPr>
            <w:tcW w:type="dxa" w:w="2436"/>
          </w:tcPr>
          <w:p>
            <w:r>
              <w:rPr>
                <w:sz w:val="20"/>
              </w:rPr>
            </w:r>
          </w:p>
        </w:tc>
        <w:tc>
          <w:tcPr>
            <w:tcW w:type="dxa" w:w="2436"/>
          </w:tcPr>
          <w:p>
            <w:r>
              <w:rPr>
                <w:sz w:val="20"/>
              </w:rPr>
            </w:r>
          </w:p>
        </w:tc>
      </w:tr>
      <w:tr>
        <w:tc>
          <w:tcPr>
            <w:tcW w:type="dxa" w:w="2436"/>
          </w:tcPr>
          <w:p>
            <w:r>
              <w:rPr>
                <w:sz w:val="20"/>
              </w:rPr>
            </w:r>
            <w:r>
              <w:rPr>
                <w:b w:val="0"/>
                <w:sz w:val="20"/>
              </w:rPr>
              <w:t>Contrat de traitement des données de l’éditeur</w:t>
            </w:r>
          </w:p>
        </w:tc>
        <w:tc>
          <w:tcPr>
            <w:tcW w:type="dxa" w:w="2436"/>
          </w:tcPr>
          <w:p>
            <w:r>
              <w:rPr>
                <w:sz w:val="20"/>
              </w:rPr>
            </w:r>
            <w:r>
              <w:rPr>
                <w:b w:val="0"/>
                <w:sz w:val="20"/>
              </w:rPr>
              <w:t>Accepté et rangé par [DSI]</w:t>
            </w:r>
          </w:p>
        </w:tc>
        <w:tc>
          <w:tcPr>
            <w:tcW w:type="dxa" w:w="2436"/>
          </w:tcPr>
          <w:p>
            <w:r>
              <w:rPr>
                <w:sz w:val="20"/>
              </w:rPr>
            </w:r>
          </w:p>
        </w:tc>
        <w:tc>
          <w:tcPr>
            <w:tcW w:type="dxa" w:w="2436"/>
          </w:tcPr>
          <w:p>
            <w:r>
              <w:rPr>
                <w:sz w:val="20"/>
              </w:rPr>
            </w:r>
          </w:p>
        </w:tc>
      </w:tr>
      <w:tr>
        <w:tc>
          <w:tcPr>
            <w:tcW w:type="dxa" w:w="2436"/>
          </w:tcPr>
          <w:p>
            <w:r>
              <w:rPr>
                <w:sz w:val="20"/>
              </w:rPr>
            </w:r>
            <w:r>
              <w:rPr>
                <w:b w:val="0"/>
                <w:sz w:val="20"/>
              </w:rPr>
              <w:t>Lieu de stockage des données</w:t>
            </w:r>
          </w:p>
        </w:tc>
        <w:tc>
          <w:tcPr>
            <w:tcW w:type="dxa" w:w="2436"/>
          </w:tcPr>
          <w:p>
            <w:r>
              <w:rPr>
                <w:sz w:val="20"/>
              </w:rPr>
            </w:r>
            <w:r>
              <w:rPr>
                <w:b w:val="0"/>
                <w:sz w:val="20"/>
              </w:rPr>
              <w:t>Connu et noté</w:t>
            </w:r>
          </w:p>
        </w:tc>
        <w:tc>
          <w:tcPr>
            <w:tcW w:type="dxa" w:w="2436"/>
          </w:tcPr>
          <w:p>
            <w:r>
              <w:rPr>
                <w:sz w:val="20"/>
              </w:rPr>
            </w:r>
          </w:p>
        </w:tc>
        <w:tc>
          <w:tcPr>
            <w:tcW w:type="dxa" w:w="2436"/>
          </w:tcPr>
          <w:p>
            <w:r>
              <w:rPr>
                <w:sz w:val="20"/>
              </w:rPr>
            </w:r>
          </w:p>
        </w:tc>
      </w:tr>
      <w:tr>
        <w:tc>
          <w:tcPr>
            <w:tcW w:type="dxa" w:w="2436"/>
          </w:tcPr>
          <w:p>
            <w:r>
              <w:rPr>
                <w:sz w:val="20"/>
              </w:rPr>
            </w:r>
            <w:r>
              <w:rPr>
                <w:b w:val="0"/>
                <w:sz w:val="20"/>
              </w:rPr>
              <w:t>Durée de conservation des conversations</w:t>
            </w:r>
          </w:p>
        </w:tc>
        <w:tc>
          <w:tcPr>
            <w:tcW w:type="dxa" w:w="2436"/>
          </w:tcPr>
          <w:p>
            <w:r>
              <w:rPr>
                <w:sz w:val="20"/>
              </w:rPr>
            </w:r>
            <w:r>
              <w:rPr>
                <w:b w:val="0"/>
                <w:sz w:val="20"/>
              </w:rPr>
              <w:t>Connue et réglée au plus court utile</w:t>
            </w:r>
          </w:p>
        </w:tc>
        <w:tc>
          <w:tcPr>
            <w:tcW w:type="dxa" w:w="2436"/>
          </w:tcPr>
          <w:p>
            <w:r>
              <w:rPr>
                <w:sz w:val="20"/>
              </w:rPr>
            </w:r>
          </w:p>
        </w:tc>
        <w:tc>
          <w:tcPr>
            <w:tcW w:type="dxa" w:w="2436"/>
          </w:tcPr>
          <w:p>
            <w:r>
              <w:rPr>
                <w:sz w:val="20"/>
              </w:rPr>
            </w:r>
          </w:p>
        </w:tc>
      </w:tr>
      <w:tr>
        <w:tc>
          <w:tcPr>
            <w:tcW w:type="dxa" w:w="2436"/>
          </w:tcPr>
          <w:p>
            <w:r>
              <w:rPr>
                <w:sz w:val="20"/>
              </w:rPr>
            </w:r>
            <w:r>
              <w:rPr>
                <w:b w:val="0"/>
                <w:sz w:val="20"/>
              </w:rPr>
              <w:t>Accès à la messagerie et aux documents</w:t>
            </w:r>
          </w:p>
        </w:tc>
        <w:tc>
          <w:tcPr>
            <w:tcW w:type="dxa" w:w="2436"/>
          </w:tcPr>
          <w:p>
            <w:r>
              <w:rPr>
                <w:sz w:val="20"/>
              </w:rPr>
            </w:r>
            <w:r>
              <w:rPr>
                <w:b w:val="0"/>
                <w:sz w:val="20"/>
              </w:rPr>
              <w:t>Limité aux dossiers utiles</w:t>
            </w:r>
          </w:p>
        </w:tc>
        <w:tc>
          <w:tcPr>
            <w:tcW w:type="dxa" w:w="2436"/>
          </w:tcPr>
          <w:p>
            <w:r>
              <w:rPr>
                <w:sz w:val="20"/>
              </w:rPr>
            </w:r>
          </w:p>
        </w:tc>
        <w:tc>
          <w:tcPr>
            <w:tcW w:type="dxa" w:w="2436"/>
          </w:tcPr>
          <w:p>
            <w:r>
              <w:rPr>
                <w:sz w:val="20"/>
              </w:rPr>
            </w:r>
          </w:p>
        </w:tc>
      </w:tr>
      <w:tr>
        <w:tc>
          <w:tcPr>
            <w:tcW w:type="dxa" w:w="2436"/>
          </w:tcPr>
          <w:p>
            <w:r>
              <w:rPr>
                <w:sz w:val="20"/>
              </w:rPr>
            </w:r>
            <w:r>
              <w:rPr>
                <w:b w:val="0"/>
                <w:sz w:val="20"/>
              </w:rPr>
              <w:t>Partage de conversations par lien</w:t>
            </w:r>
          </w:p>
        </w:tc>
        <w:tc>
          <w:tcPr>
            <w:tcW w:type="dxa" w:w="2436"/>
          </w:tcPr>
          <w:p>
            <w:r>
              <w:rPr>
                <w:sz w:val="20"/>
              </w:rPr>
            </w:r>
            <w:r>
              <w:rPr>
                <w:b w:val="0"/>
                <w:sz w:val="20"/>
              </w:rPr>
              <w:t>Coupé ou réservé aux comptes de l’entreprise</w:t>
            </w:r>
          </w:p>
        </w:tc>
        <w:tc>
          <w:tcPr>
            <w:tcW w:type="dxa" w:w="2436"/>
          </w:tcPr>
          <w:p>
            <w:r>
              <w:rPr>
                <w:sz w:val="20"/>
              </w:rPr>
            </w:r>
          </w:p>
        </w:tc>
        <w:tc>
          <w:tcPr>
            <w:tcW w:type="dxa" w:w="2436"/>
          </w:tcPr>
          <w:p>
            <w:r>
              <w:rPr>
                <w:sz w:val="20"/>
              </w:rPr>
            </w:r>
          </w:p>
        </w:tc>
      </w:tr>
      <w:tr>
        <w:tc>
          <w:tcPr>
            <w:tcW w:type="dxa" w:w="2436"/>
          </w:tcPr>
          <w:p>
            <w:r>
              <w:rPr>
                <w:sz w:val="20"/>
              </w:rPr>
            </w:r>
            <w:r>
              <w:rPr>
                <w:b w:val="0"/>
                <w:sz w:val="20"/>
              </w:rPr>
              <w:t>Double authentification</w:t>
            </w:r>
          </w:p>
        </w:tc>
        <w:tc>
          <w:tcPr>
            <w:tcW w:type="dxa" w:w="2436"/>
          </w:tcPr>
          <w:p>
            <w:r>
              <w:rPr>
                <w:sz w:val="20"/>
              </w:rPr>
            </w:r>
            <w:r>
              <w:rPr>
                <w:b w:val="0"/>
                <w:sz w:val="20"/>
              </w:rPr>
              <w:t>Activée</w:t>
            </w:r>
          </w:p>
        </w:tc>
        <w:tc>
          <w:tcPr>
            <w:tcW w:type="dxa" w:w="2436"/>
          </w:tcPr>
          <w:p>
            <w:r>
              <w:rPr>
                <w:sz w:val="20"/>
              </w:rPr>
            </w:r>
          </w:p>
        </w:tc>
        <w:tc>
          <w:tcPr>
            <w:tcW w:type="dxa" w:w="2436"/>
          </w:tcPr>
          <w:p>
            <w:r>
              <w:rPr>
                <w:sz w:val="20"/>
              </w:rPr>
            </w:r>
          </w:p>
        </w:tc>
      </w:tr>
    </w:tbl>
    <w:p/>
    <w:p>
      <w:r>
        <w:rPr>
          <w:b w:val="0"/>
        </w:rPr>
        <w:t>Repères par type d’offre, à vérifier sur le site de l’éditeur :</w:t>
      </w:r>
    </w:p>
    <w:p>
      <w:pPr>
        <w:pStyle w:val="ListBullet"/>
      </w:pPr>
      <w:r>
        <w:rPr>
          <w:b/>
        </w:rPr>
        <w:t>Formules pour particuliers, gratuites ou payantes</w:t>
      </w:r>
      <w:r>
        <w:rPr>
          <w:b w:val="0"/>
        </w:rPr>
        <w:t xml:space="preserve"> : l’entraînement sur vos conversations peut être activé par défaut. Un réglage de confidentialité permet de le couper.</w:t>
      </w:r>
    </w:p>
    <w:p>
      <w:pPr>
        <w:pStyle w:val="ListBullet"/>
      </w:pPr>
      <w:r>
        <w:rPr>
          <w:b/>
        </w:rPr>
        <w:t>Formules équipe ou entreprise</w:t>
      </w:r>
      <w:r>
        <w:rPr>
          <w:b w:val="0"/>
        </w:rPr>
        <w:t xml:space="preserve"> : les éditeurs annoncent en général que vos données ne servent pas à l’entraînement. Lisez la clause dans le contrat.</w:t>
      </w:r>
    </w:p>
    <w:p>
      <w:pPr>
        <w:pStyle w:val="ListBullet"/>
      </w:pPr>
      <w:r>
        <w:rPr>
          <w:b/>
        </w:rPr>
        <w:t>IA intégrée à votre suite bureautique</w:t>
      </w:r>
      <w:r>
        <w:rPr>
          <w:b w:val="0"/>
        </w:rPr>
        <w:t xml:space="preserve"> : vérifiez avec votre administrateur que la protection des données de l’entreprise couvre chaque compte.</w:t>
      </w:r>
    </w:p>
    <w:p>
      <w:pPr>
        <w:pStyle w:val="ListBullet"/>
      </w:pPr>
      <w:r>
        <w:rPr>
          <w:b/>
        </w:rPr>
        <w:t>Outil installé sur vos serveurs</w:t>
      </w:r>
      <w:r>
        <w:rPr>
          <w:b w:val="0"/>
        </w:rPr>
        <w:t xml:space="preserve"> : les données restent chez vous. Vérifiez qui lit les journaux d’utilisation.</w:t>
      </w:r>
    </w:p>
    <w:p>
      <w:pPr>
        <w:pStyle w:val="Heading2"/>
      </w:pPr>
      <w:r>
        <w:t>4. Fiche de validation DSI</w:t>
      </w:r>
    </w:p>
    <w:p>
      <w:r>
        <w:rPr>
          <w:b w:val="0"/>
        </w:rPr>
        <w:t>À renvoyer signée à Antoine Contino avant la journée.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E1A2B"/>
          </w:tcPr>
          <w:p>
            <w:r>
              <w:rPr>
                <w:b/>
                <w:color w:val="FFFFFF"/>
                <w:sz w:val="20"/>
              </w:rPr>
            </w:r>
            <w:r>
              <w:rPr>
                <w:b/>
                <w:color w:val="FFFFFF"/>
                <w:sz w:val="20"/>
              </w:rPr>
              <w:t>Point</w:t>
            </w:r>
          </w:p>
        </w:tc>
        <w:tc>
          <w:tcPr>
            <w:tcW w:type="dxa" w:w="3249"/>
            <w:shd w:val="clear" w:color="auto" w:fill="0E1A2B"/>
          </w:tcPr>
          <w:p>
            <w:r>
              <w:rPr>
                <w:b/>
                <w:color w:val="FFFFFF"/>
                <w:sz w:val="20"/>
              </w:rPr>
            </w:r>
            <w:r>
              <w:rPr>
                <w:b/>
                <w:color w:val="FFFFFF"/>
                <w:sz w:val="20"/>
              </w:rPr>
              <w:t>Validé</w:t>
            </w:r>
          </w:p>
        </w:tc>
        <w:tc>
          <w:tcPr>
            <w:tcW w:type="dxa" w:w="3249"/>
            <w:shd w:val="clear" w:color="auto" w:fill="0E1A2B"/>
          </w:tcPr>
          <w:p>
            <w:r>
              <w:rPr>
                <w:b/>
                <w:color w:val="FFFFFF"/>
                <w:sz w:val="20"/>
              </w:rPr>
            </w:r>
            <w:r>
              <w:rPr>
                <w:b/>
                <w:color w:val="FFFFFF"/>
                <w:sz w:val="20"/>
              </w:rPr>
              <w:t>Remarque</w:t>
            </w:r>
          </w:p>
        </w:tc>
      </w:tr>
      <w:tr>
        <w:tc>
          <w:tcPr>
            <w:tcW w:type="dxa" w:w="3249"/>
          </w:tcPr>
          <w:p>
            <w:r>
              <w:rPr>
                <w:sz w:val="20"/>
              </w:rPr>
            </w:r>
            <w:r>
              <w:rPr>
                <w:b w:val="0"/>
                <w:sz w:val="20"/>
              </w:rPr>
              <w:t>Outil et formule retenus pour la journée</w:t>
            </w:r>
          </w:p>
        </w:tc>
        <w:tc>
          <w:tcPr>
            <w:tcW w:type="dxa" w:w="3249"/>
          </w:tcPr>
          <w:p>
            <w:r>
              <w:rPr>
                <w:sz w:val="20"/>
              </w:rPr>
            </w:r>
            <w:r>
              <w:rPr>
                <w:b w:val="0"/>
                <w:sz w:val="20"/>
              </w:rPr>
              <w:t>☐</w:t>
            </w:r>
          </w:p>
        </w:tc>
        <w:tc>
          <w:tcPr>
            <w:tcW w:type="dxa" w:w="3249"/>
          </w:tcPr>
          <w:p>
            <w:r>
              <w:rPr>
                <w:sz w:val="20"/>
              </w:rPr>
            </w:r>
          </w:p>
        </w:tc>
      </w:tr>
      <w:tr>
        <w:tc>
          <w:tcPr>
            <w:tcW w:type="dxa" w:w="3249"/>
          </w:tcPr>
          <w:p>
            <w:r>
              <w:rPr>
                <w:sz w:val="20"/>
              </w:rPr>
            </w:r>
            <w:r>
              <w:rPr>
                <w:b w:val="0"/>
                <w:sz w:val="20"/>
              </w:rPr>
              <w:t>Un compte par participant, créé et testé</w:t>
            </w:r>
          </w:p>
        </w:tc>
        <w:tc>
          <w:tcPr>
            <w:tcW w:type="dxa" w:w="3249"/>
          </w:tcPr>
          <w:p>
            <w:r>
              <w:rPr>
                <w:sz w:val="20"/>
              </w:rPr>
            </w:r>
            <w:r>
              <w:rPr>
                <w:b w:val="0"/>
                <w:sz w:val="20"/>
              </w:rPr>
              <w:t>☐</w:t>
            </w:r>
          </w:p>
        </w:tc>
        <w:tc>
          <w:tcPr>
            <w:tcW w:type="dxa" w:w="3249"/>
          </w:tcPr>
          <w:p>
            <w:r>
              <w:rPr>
                <w:sz w:val="20"/>
              </w:rPr>
            </w:r>
          </w:p>
        </w:tc>
      </w:tr>
      <w:tr>
        <w:tc>
          <w:tcPr>
            <w:tcW w:type="dxa" w:w="3249"/>
          </w:tcPr>
          <w:p>
            <w:r>
              <w:rPr>
                <w:sz w:val="20"/>
              </w:rPr>
            </w:r>
            <w:r>
              <w:rPr>
                <w:b w:val="0"/>
                <w:sz w:val="20"/>
              </w:rPr>
              <w:t>Réglages de la partie 3 vérifiés</w:t>
            </w:r>
          </w:p>
        </w:tc>
        <w:tc>
          <w:tcPr>
            <w:tcW w:type="dxa" w:w="3249"/>
          </w:tcPr>
          <w:p>
            <w:r>
              <w:rPr>
                <w:sz w:val="20"/>
              </w:rPr>
            </w:r>
            <w:r>
              <w:rPr>
                <w:b w:val="0"/>
                <w:sz w:val="20"/>
              </w:rPr>
              <w:t>☐</w:t>
            </w:r>
          </w:p>
        </w:tc>
        <w:tc>
          <w:tcPr>
            <w:tcW w:type="dxa" w:w="3249"/>
          </w:tcPr>
          <w:p>
            <w:r>
              <w:rPr>
                <w:sz w:val="20"/>
              </w:rPr>
            </w:r>
          </w:p>
        </w:tc>
      </w:tr>
      <w:tr>
        <w:tc>
          <w:tcPr>
            <w:tcW w:type="dxa" w:w="3249"/>
          </w:tcPr>
          <w:p>
            <w:r>
              <w:rPr>
                <w:sz w:val="20"/>
              </w:rPr>
            </w:r>
            <w:r>
              <w:rPr>
                <w:b w:val="0"/>
                <w:sz w:val="20"/>
              </w:rPr>
              <w:t>Charte adaptée et signée</w:t>
            </w:r>
          </w:p>
        </w:tc>
        <w:tc>
          <w:tcPr>
            <w:tcW w:type="dxa" w:w="3249"/>
          </w:tcPr>
          <w:p>
            <w:r>
              <w:rPr>
                <w:sz w:val="20"/>
              </w:rPr>
            </w:r>
            <w:r>
              <w:rPr>
                <w:b w:val="0"/>
                <w:sz w:val="20"/>
              </w:rPr>
              <w:t>☐</w:t>
            </w:r>
          </w:p>
        </w:tc>
        <w:tc>
          <w:tcPr>
            <w:tcW w:type="dxa" w:w="3249"/>
          </w:tcPr>
          <w:p>
            <w:r>
              <w:rPr>
                <w:sz w:val="20"/>
              </w:rPr>
            </w:r>
          </w:p>
        </w:tc>
      </w:tr>
      <w:tr>
        <w:tc>
          <w:tcPr>
            <w:tcW w:type="dxa" w:w="3249"/>
          </w:tcPr>
          <w:p>
            <w:r>
              <w:rPr>
                <w:sz w:val="20"/>
              </w:rPr>
            </w:r>
            <w:r>
              <w:rPr>
                <w:b w:val="0"/>
                <w:sz w:val="20"/>
              </w:rPr>
              <w:t>Liste des données interdites complétée</w:t>
            </w:r>
          </w:p>
        </w:tc>
        <w:tc>
          <w:tcPr>
            <w:tcW w:type="dxa" w:w="3249"/>
          </w:tcPr>
          <w:p>
            <w:r>
              <w:rPr>
                <w:sz w:val="20"/>
              </w:rPr>
            </w:r>
            <w:r>
              <w:rPr>
                <w:b w:val="0"/>
                <w:sz w:val="20"/>
              </w:rPr>
              <w:t>☐</w:t>
            </w:r>
          </w:p>
        </w:tc>
        <w:tc>
          <w:tcPr>
            <w:tcW w:type="dxa" w:w="3249"/>
          </w:tcPr>
          <w:p>
            <w:r>
              <w:rPr>
                <w:sz w:val="20"/>
              </w:rPr>
            </w:r>
          </w:p>
        </w:tc>
      </w:tr>
      <w:tr>
        <w:tc>
          <w:tcPr>
            <w:tcW w:type="dxa" w:w="3249"/>
          </w:tcPr>
          <w:p>
            <w:r>
              <w:rPr>
                <w:sz w:val="20"/>
              </w:rPr>
            </w:r>
            <w:r>
              <w:rPr>
                <w:b w:val="0"/>
                <w:sz w:val="20"/>
              </w:rPr>
              <w:t>Accès à la messagerie et aux documents pendant la journée</w:t>
            </w:r>
          </w:p>
        </w:tc>
        <w:tc>
          <w:tcPr>
            <w:tcW w:type="dxa" w:w="3249"/>
          </w:tcPr>
          <w:p>
            <w:r>
              <w:rPr>
                <w:sz w:val="20"/>
              </w:rPr>
            </w:r>
            <w:r>
              <w:rPr>
                <w:b w:val="0"/>
                <w:sz w:val="20"/>
              </w:rPr>
              <w:t>☐ oui ☐ non</w:t>
            </w:r>
          </w:p>
        </w:tc>
        <w:tc>
          <w:tcPr>
            <w:tcW w:type="dxa" w:w="3249"/>
          </w:tcPr>
          <w:p>
            <w:r>
              <w:rPr>
                <w:sz w:val="20"/>
              </w:rPr>
            </w:r>
          </w:p>
        </w:tc>
      </w:tr>
      <w:tr>
        <w:tc>
          <w:tcPr>
            <w:tcW w:type="dxa" w:w="3249"/>
          </w:tcPr>
          <w:p>
            <w:r>
              <w:rPr>
                <w:sz w:val="20"/>
              </w:rPr>
            </w:r>
            <w:r>
              <w:rPr>
                <w:b w:val="0"/>
                <w:sz w:val="20"/>
              </w:rPr>
              <w:t>Contact en cas d’incident : [nom, téléphone]</w:t>
            </w:r>
          </w:p>
        </w:tc>
        <w:tc>
          <w:tcPr>
            <w:tcW w:type="dxa" w:w="3249"/>
          </w:tcPr>
          <w:p>
            <w:r>
              <w:rPr>
                <w:sz w:val="20"/>
              </w:rPr>
            </w:r>
            <w:r>
              <w:rPr>
                <w:b w:val="0"/>
                <w:sz w:val="20"/>
              </w:rPr>
              <w:t>☐</w:t>
            </w:r>
          </w:p>
        </w:tc>
        <w:tc>
          <w:tcPr>
            <w:tcW w:type="dxa" w:w="3249"/>
          </w:tcPr>
          <w:p>
            <w:r>
              <w:rPr>
                <w:sz w:val="20"/>
              </w:rPr>
            </w:r>
          </w:p>
        </w:tc>
      </w:tr>
    </w:tbl>
    <w:p/>
    <w:p>
      <w:r>
        <w:rPr>
          <w:b w:val="0"/>
        </w:rPr>
        <w:t>Validé par : [nom, fonction]</w:t>
      </w:r>
    </w:p>
    <w:p>
      <w:r>
        <w:rPr>
          <w:b w:val="0"/>
        </w:rPr>
        <w:t>Date : [date]</w:t>
      </w:r>
    </w:p>
    <w:p>
      <w:r>
        <w:rPr>
          <w:b w:val="0"/>
        </w:rPr>
        <w:t>Signature :</w:t>
      </w:r>
    </w:p>
    <w:p>
      <w:pPr>
        <w:pStyle w:val="Heading2"/>
      </w:pPr>
      <w:r>
        <w:t>5. Le cadre légal en bref</w:t>
      </w:r>
    </w:p>
    <w:p>
      <w:pPr>
        <w:pStyle w:val="ListBullet"/>
      </w:pPr>
      <w:r>
        <w:rPr>
          <w:b/>
        </w:rPr>
        <w:t>RGPD.</w:t>
      </w:r>
      <w:r>
        <w:rPr>
          <w:b w:val="0"/>
        </w:rPr>
        <w:t xml:space="preserve"> Un texte qui contient des données personnelles reste soumis au RGPD dans un outil d’IA. L’anonymisation avant envoi réduit ce risque. Avec une formule professionnelle, l’éditeur traite en général vos données comme sous-traitant : un contrat encadre ce traitement (article 28 du RGPD).</w:t>
      </w:r>
    </w:p>
    <w:p>
      <w:pPr>
        <w:pStyle w:val="ListBullet"/>
      </w:pPr>
      <w:r>
        <w:rPr>
          <w:b/>
        </w:rPr>
        <w:t>Règlement européen sur l’IA, article 4.</w:t>
      </w:r>
      <w:r>
        <w:rPr>
          <w:b w:val="0"/>
        </w:rPr>
        <w:t xml:space="preserve"> Les entreprises qui utilisent des systèmes d’IA prennent des mesures pour développer la maîtrise de l’IA de leur personnel. L’obligation s’applique depuis le 2 février 2025 (règlement UE 2024/1689). L’accord politique du 7 mai 2026 sur l’omnibus numérique allège sa rédaction : l’entreprise soutient la formation de son personnel sans devoir garantir un niveau précis. Vérifiez la version en vigueur au Journal officiel de l’Union européenne.</w:t>
      </w:r>
    </w:p>
    <w:p>
      <w:pPr>
        <w:pStyle w:val="ListBullet"/>
      </w:pPr>
      <w:r>
        <w:rPr>
          <w:b/>
        </w:rPr>
        <w:t>Vos contrats clients.</w:t>
      </w:r>
      <w:r>
        <w:rPr>
          <w:b w:val="0"/>
        </w:rPr>
        <w:t xml:space="preserve"> Certains clients interdisent de transmettre leurs documents à un outil tiers. Ces documents restent hors de l’outil, même anonymisés.</w:t>
      </w:r>
    </w:p>
    <w:p>
      <w:pPr>
        <w:pStyle w:val="ListBullet"/>
      </w:pPr>
      <w:r>
        <w:rPr>
          <w:b/>
        </w:rPr>
        <w:t>Ce qu’il faut garder.</w:t>
      </w:r>
      <w:r>
        <w:rPr>
          <w:b w:val="0"/>
        </w:rPr>
        <w:t xml:space="preserve"> Rangez la charte signée avec la fiche de validation. Ajoutez la date de la journée de formation et la liste des participants. Ces pièces montrent les mesures prises pour l’article 4.</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olor w:val="0E1A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eastAsia="Calibri"/>
      <w:b/>
      <w:bCs/>
      <w:color w:val="0E1A2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5803D"/>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15803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