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Concurrents : FAQ, avis négatifs et ce qu’on en tire</w:t>
      </w:r>
    </w:p>
    <w:p>
      <w:r>
        <w:rPr>
          <w:b w:val="0"/>
        </w:rPr>
        <w:t>Rapport du 12 octobre 2026 pour la page de l’offre d’antoinecontino.fr. Les noms des concurrents restent dans ce rapport et n’apparaissent nulle part sur le site.</w:t>
      </w:r>
    </w:p>
    <w:p>
      <w:pPr>
        <w:pStyle w:val="Heading2"/>
      </w:pPr>
      <w:r>
        <w:t>Méthode et limites</w:t>
      </w:r>
    </w:p>
    <w:p>
      <w:pPr>
        <w:pStyle w:val="ListBullet"/>
      </w:pPr>
      <w:r>
        <w:rPr>
          <w:b w:val="0"/>
        </w:rPr>
        <w:t>La recherche web intégrée était bloquée pendant le travail avec le skill `alex`. Les pages ont été lues avec Apify (navigateur de recherche et lecture de pages).</w:t>
      </w:r>
    </w:p>
    <w:p>
      <w:pPr>
        <w:pStyle w:val="ListBullet"/>
      </w:pPr>
      <w:r>
        <w:rPr>
          <w:b w:val="0"/>
        </w:rPr>
        <w:t>Pages lues en entier : la page formation entreprise de Dataistudio, la page formation IA de Xperience AI, la page IA de Mes Formations Business (MFB), les avis Trustpilot à une et deux étoiles de Cegos et de M2i.</w:t>
      </w:r>
    </w:p>
    <w:p>
      <w:pPr>
        <w:pStyle w:val="ListBullet"/>
      </w:pPr>
      <w:r>
        <w:rPr>
          <w:b w:val="0"/>
        </w:rPr>
        <w:t>Orsys : aucun avis Trustpilot exploitable. Isek : vu seulement dans les résultats de recherche (formation IA d’une demi-journée pour comités de direction), page non lue.</w:t>
      </w:r>
    </w:p>
    <w:p>
      <w:pPr>
        <w:pStyle w:val="ListBullet"/>
      </w:pPr>
      <w:r>
        <w:rPr>
          <w:b w:val="0"/>
        </w:rPr>
        <w:t>Les avis lus forment un petit échantillon : Cegos note 2,2 sur 10 avis, M2i 2,1 sur 22 avis au moment de la lecture. Ils montrent des irritants réels. Ils ne mesurent pas leur fréquence.</w:t>
      </w:r>
    </w:p>
    <w:p>
      <w:pPr>
        <w:pStyle w:val="Heading2"/>
      </w:pPr>
      <w:r>
        <w:t>1. Les questions qui reviennent dans les FAQ concurrentes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19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Dataistudio</w:t>
            </w:r>
          </w:p>
        </w:tc>
        <w:tc>
          <w:tcPr>
            <w:tcW w:type="dxa" w:w="19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Xperience AI</w:t>
            </w:r>
          </w:p>
        </w:tc>
        <w:tc>
          <w:tcPr>
            <w:tcW w:type="dxa" w:w="19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MFB</w:t>
            </w:r>
          </w:p>
        </w:tc>
        <w:tc>
          <w:tcPr>
            <w:tcW w:type="dxa" w:w="19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Notre réponse sur la page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Faut-il des connaissances techniques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Faut-il savoir coder ? »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Dans nos locaux ou à distance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Combien de temps faut-il bloquer l’équipe ? » : journée sur site, visios à distance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Combien de temps dure la formation, une journée suffit-elle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Une journée, ça suffit ? » (ajoutée)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Est-ce adapté à notre entreprise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Carte des heures perdues, outil par personne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Travaille-t-on sur nos données, est-ce confidentiel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Nos documents sont confidentiels. »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Combien de participants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Mon équipe n’a pas le même niveau. » (ajoutée)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Quels outils d’IA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Faut-il acheter des abonnements ? » (ajoutée)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Que se passe-t-il après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Après une formation, tout retombe. »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Combien ça coûte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Une formation IA coûte moins cher ailleurs. » (ajoutée)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Quels gains espérer ?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Tableau du seuil de rentabilité et garantie des 30 jours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Délai pour organiser la session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Non traité sur la page : délai réel [à fournir]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Attestation de fin de formation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Non traité : voir les pistes produit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Accessibilité aux personnes en situation de handicap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Non traité : voir les pistes produit</w:t>
            </w:r>
          </w:p>
        </w:tc>
      </w:tr>
    </w:tbl>
    <w:p/>
    <w:p>
      <w:r>
        <w:rPr>
          <w:b w:val="0"/>
        </w:rPr>
        <w:t>Les questions de prise en charge par un organisme tiers reviennent chez les trois concurrents. Elles restent hors du site, comme prévu.</w:t>
      </w:r>
    </w:p>
    <w:p>
      <w:r>
        <w:rPr>
          <w:b w:val="0"/>
        </w:rPr>
        <w:t>Sources : [Dataistudio](https://www.dataistudio.com/formation-entreprise.html), [Xperience AI](https://xperience-ai.com/formation-ia-pour-entreprise/), [MFB](https://mesformations-business.com/formation-domaine/ia/).</w:t>
      </w:r>
    </w:p>
    <w:p>
      <w:pPr>
        <w:pStyle w:val="Heading2"/>
      </w:pPr>
      <w:r>
        <w:t>2. Ce que disent les avis négatifs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 qui déçoit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Exemple, avec sa date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 que l’Accélérateur y oppose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journée trop basique, passée à « prompter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Cegos, avis du 16 août 2026 : « J’ai suivi une formation sur l’IA que j’ai payé ~1000€ HT. C’était très basique, on a passé la journée à prompter chat gpt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 outil construit par personne sur ses propres dossiers, en service le soir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 niveaux mélangés dans le groupe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Même avis : « niveau très hétérogène (certaines personnes découvraient l’existence des LLM)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L’équipe seule, cinq personnes au plus, chacun sur ses tâches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 formateur qui ne maîtrise pas le sujet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Cegos, avis du 7 octobre 2025 : le formateur « demande au llm de lui expliquer le contenu/les concepts de la formation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Formateur dirigeant qui utilise l’IA dans son travail depuis quatre ans, certification CS50AI vérifiable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 client oublié après la signature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Cegos, avis du 23 février 2026 : « Sitôt le contrat signé, vous êtes totalement oublié sauf pour la facture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Deux visios de déblocage, compteur, contrôle à 30 jours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 sessions repoussées ou annulées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M2i, avis du 4 septembre 2025 : formations « repoussé[es] à plusieurs reprises de plusieurs mois, et à chaque fois en nous informant au dernier moment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date réservée à l’équipe, report encadré par les CGV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 sessions annulées faute d’inscrits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M2i, avis de septembre 2025 (relevé lors de la lecture, citation exacte non conservée)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Intra seulement : la date est fixée à la signature du devis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 journées trop chargées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M2i, avis du 13 février 2025 : « les cours sont beaucoup trop chargés pour 2-3 jours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tâche par personne, un premier gain avant midi</w:t>
            </w:r>
          </w:p>
        </w:tc>
      </w:tr>
    </w:tbl>
    <w:p/>
    <w:p>
      <w:r>
        <w:rPr>
          <w:b w:val="0"/>
        </w:rPr>
        <w:t>Sources : [avis Cegos](https://fr.trustpilot.com/review/www.cegos.fr?stars=1&amp;stars=2), [avis M2i](https://fr.trustpilot.com/review/www.m2iformation.fr?stars=1&amp;stars=2).</w:t>
      </w:r>
    </w:p>
    <w:p>
      <w:r>
        <w:rPr>
          <w:b w:val="0"/>
        </w:rPr>
        <w:t>Ces irritants se retrouvent sur la page à deux endroits : les lignes « Le groupe », « La date » et « Si un outil coince » du comparatif, puis les questions ajoutées à la FAQ.</w:t>
      </w:r>
    </w:p>
    <w:p>
      <w:pPr>
        <w:pStyle w:val="Heading2"/>
      </w:pPr>
      <w:r>
        <w:t>3. Les prix affichés par la concurrence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Offre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Prix affiché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MFB, intra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dès 1 150 € HT la journée pour le groupe, 12 personnes au plus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page IA de MFB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MFB, inter à distance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dès 390 € HT par personne et par jour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page IA de MFB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Xperience AI, maîtrise de l’outil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dès 2 400 CHF la demi-journée, 3 900 CHF la journée, 10 personnes au plus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page formation de Xperience AI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Cegos, formation 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« ~1000€ HT » par personne, d’après l’avis cité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avis Trustpilot</w:t>
            </w:r>
          </w:p>
        </w:tc>
      </w:tr>
    </w:tbl>
    <w:p/>
    <w:p>
      <w:r>
        <w:rPr>
          <w:b w:val="0"/>
        </w:rPr>
        <w:t>À 4 900 € HT, l’Accélérateur coûte plus cher qu’une journée intra de catalogue. Hormozi traite ce cas par le bundle : il règle tous les problèmes perçus et rend la comparaison impossible (Offers, ch. 10 Trim &amp; Stack, p. 117). La page applique ce principe avec le comparatif en neuf lignes et la pile chiffrée. Elle n’affiche aucun prix concurrent.</w:t>
      </w:r>
    </w:p>
    <w:p>
      <w:pPr>
        <w:pStyle w:val="Heading2"/>
      </w:pPr>
      <w:r>
        <w:t>4. Pistes pour améliorer le produit</w:t>
      </w:r>
    </w:p>
    <w:p>
      <w:pPr>
        <w:pStyle w:val="ListBullet"/>
      </w:pPr>
      <w:r>
        <w:rPr>
          <w:b/>
        </w:rPr>
        <w:t>Une attestation de formation par participant.</w:t>
      </w:r>
      <w:r>
        <w:rPr>
          <w:b w:val="0"/>
        </w:rPr>
        <w:t xml:space="preserve"> MFB la met en avant. Elle sert aussi à l’entreprise pour documenter les mesures de l’article 4 du règlement européen sur l’IA. Elle coûte peu et pèse lourd pour le client.</w:t>
      </w:r>
    </w:p>
    <w:p>
      <w:pPr>
        <w:pStyle w:val="ListBullet"/>
      </w:pPr>
      <w:r>
        <w:rPr>
          <w:b/>
        </w:rPr>
        <w:t>Un exemple d’outil réel, anonymisé.</w:t>
      </w:r>
      <w:r>
        <w:rPr>
          <w:b w:val="0"/>
        </w:rPr>
        <w:t xml:space="preserve"> Aucun concurrent lu ne montre un outil livré. Une capture de l’outil construit le 8 septembre 2026 serait la preuve la plus forte de la page [à fournir, avec l’accord de la cliente].</w:t>
      </w:r>
    </w:p>
    <w:p>
      <w:pPr>
        <w:pStyle w:val="ListBullet"/>
      </w:pPr>
      <w:r>
        <w:rPr>
          <w:b/>
        </w:rPr>
        <w:t>Le délai pour obtenir une date.</w:t>
      </w:r>
      <w:r>
        <w:rPr>
          <w:b w:val="0"/>
        </w:rPr>
        <w:t xml:space="preserve"> MFB annonce un mois en intra. Un délai court et tenu devient un argument de vitesse : « The only thing that beats “free” is “fast.” » (Offers, ch. 6 The Value Equation, p. 83). Délai réel [à fournir].</w:t>
      </w:r>
    </w:p>
    <w:p>
      <w:pPr>
        <w:pStyle w:val="ListBullet"/>
      </w:pPr>
      <w:r>
        <w:rPr>
          <w:b/>
        </w:rPr>
        <w:t>L’accessibilité.</w:t>
      </w:r>
      <w:r>
        <w:rPr>
          <w:b w:val="0"/>
        </w:rPr>
        <w:t xml:space="preserve"> MFB y répond dans sa FAQ. Une ligne sur l’adaptation de la journée à un participant en situation de handicap couvrirait ce point [à fournir].</w:t>
      </w:r>
    </w:p>
    <w:p>
      <w:pPr>
        <w:pStyle w:val="ListBullet"/>
      </w:pPr>
      <w:r>
        <w:rPr>
          <w:b/>
        </w:rPr>
        <w:t>Le témoignage de la cliente du 8 septembre 2026.</w:t>
      </w:r>
      <w:r>
        <w:rPr>
          <w:b w:val="0"/>
        </w:rPr>
        <w:t xml:space="preserve"> L’emplacement existe en commentaire dans la page. Les concurrents affichent des avis Trustpilot : un témoignage vidéo daté pèse plus qu’une note.</w:t>
      </w:r>
    </w:p>
    <w:p>
      <w:pPr>
        <w:pStyle w:val="Heading2"/>
      </w:pPr>
      <w:r>
        <w:t>5. Le nom de l’offre</w:t>
      </w:r>
    </w:p>
    <w:p>
      <w:r>
        <w:rPr>
          <w:b w:val="0"/>
        </w:rPr>
        <w:t>« L’Atelier Une Heure » pouvait se lire comme un atelier d’une heure. La formule M-A-G-I-C demande trois à cinq composantes parmi Magnet, Avatar, Goal, Interval et Container (Offers, ch. 16 Naming, p. 174-178).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Composantes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Remarque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Sprint de l’heure gagnée (écarté par Antoine)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Container « Sprint », Goal « l’heure gagnée » ; forme longue avec Interval et Avatar : « Sprint de l’heure gagnée : 30 jours pour les PME du Grand Est »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Nom court qui porte le bénéfice ; le container dit la vitesse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Défi 30 jours des PME du Grand 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Container, Interval, Avatar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 mot « défi » met l’effort sur l’équipe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Atelier de l’heure gagnée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Container « Workshop », Goal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Garde le mot atelier, proche de l’identité d’IFS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heure par semaine en 30 jours : la voie express IA des PME du Grand 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Goal, Interval, Container « Fast Track », Avatar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Complet et long ; promesse chiffrée avec délai</w:t>
            </w:r>
          </w:p>
        </w:tc>
      </w:tr>
    </w:tbl>
    <w:p/>
    <w:p>
      <w:r>
        <w:rPr>
          <w:b w:val="0"/>
        </w:rPr>
        <w:t>Pour les publicités Meta : la plupart des plateformes refusent une promesse chiffrée assortie d’un délai (Offers, ch. 16 Naming, p. 175-176). Le nom court passe. La forme longue avec « 30 jours » reste sur la page. Hormozi conseille de tester deux ou trois noms en publicité et de garder le gagnant comme contrôle (p. 178).</w:t>
      </w:r>
    </w:p>
    <w:p>
      <w:r>
        <w:rPr>
          <w:b/>
        </w:rPr>
        <w:t>Nom retenu le 12 octobre 2026 : Accélérateur IA 30 jours.</w:t>
      </w:r>
      <w:r>
        <w:rPr>
          <w:b w:val="0"/>
        </w:rPr>
        <w:t xml:space="preserve"> Container « Accelerator » et Interval « 30 jours », sur le modèle « 7F Agency 12 Week Intensive » (Offers, ch. 16 Naming, p. 175 et p. 177-178). La durée sans promesse chiffrée passe en publicité (p. 175-176).</w:t>
      </w:r>
    </w:p>
    <w:p>
      <w:pPr>
        <w:pStyle w:val="Heading2"/>
      </w:pPr>
      <w:r>
        <w:t>6. Le comparatif et le déroulé</w:t>
      </w:r>
    </w:p>
    <w:p>
      <w:pPr>
        <w:pStyle w:val="ListBullet"/>
      </w:pPr>
      <w:r>
        <w:rPr>
          <w:b/>
        </w:rPr>
        <w:t>Comparatif.</w:t>
      </w:r>
      <w:r>
        <w:rPr>
          <w:b w:val="0"/>
        </w:rPr>
        <w:t xml:space="preserve"> Il reprend les quatre leviers de la Value Equation comme lignes de comparaison, à la manière du tableau Meditation vs Xanax : résultat visé, chances d’y arriver, délai avant le premier gain, effort demandé (Offers, ch. 6 The Value Equation, p. 74-78 et p. 85-87). Les cinq lignes suivantes viennent des avis négatifs ci-dessus.</w:t>
      </w:r>
    </w:p>
    <w:p>
      <w:pPr>
        <w:pStyle w:val="ListBullet"/>
      </w:pPr>
      <w:r>
        <w:rPr>
          <w:b/>
        </w:rPr>
        <w:t>Déroulé.</w:t>
      </w:r>
      <w:r>
        <w:rPr>
          <w:b w:val="0"/>
        </w:rPr>
        <w:t xml:space="preserve"> Il place un premier gain mesuré avant midi, juste avant la garantie de midi : « Fast Wins » (Offers, ch. 6 The Value Equation, p. 81-83). La carte des heures perdues et l’outil réglé sur le métier réduisent l’effort demandé (p. 83-85). La frise couvre la journée puis les 30 jours de la garantie.</w:t>
      </w:r>
    </w:p>
    <w:p>
      <w:pPr>
        <w:pStyle w:val="Heading2"/>
      </w:pPr>
      <w:r>
        <w:t>7. Les bonus face aux règles d’Hormozi</w:t>
      </w:r>
    </w:p>
    <w:p>
      <w:r>
        <w:rPr>
          <w:b w:val="0"/>
        </w:rPr>
        <w:t>Règles des bonus : Offers, ch. 14 Bonuses, p. 149-150.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Règle</w:t>
            </w:r>
          </w:p>
        </w:tc>
        <w:tc>
          <w:tcPr>
            <w:tcW w:type="dxa" w:w="4873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État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 nom spécial qui contient un bénéfice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Oui pour trois des quatre bonus. « Trois mois de suivi Signature » porte un nom de formule sans bénéfice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Dire ce que c’est et en quoi il rend la chose plus facile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Fait : les descriptions des cartes décrivent le contenu réel des livrables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Dire comment il a été découvert ou créé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Absent [à fournir : l’origine de chaque outil dans ton travail chez IFS]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preuve de sa valeur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Absente pour chaque bonus [à fournir]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 prix pour chaque bonus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Fait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 outils et des checklists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Fait : deux tableurs, un prompt, deux trames de visio et le programme du suivi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Chaque bonus répond à une inquiétude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Fait : ligne « Ce que ça règle »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La valeur des bonus dépasse celle de l’offre de base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Respectée depuis le 12 octobre 2026 : l’outil par personne passe en bonus, le prompt qui écrit vos prompts passe dans l’offre de base, le compteur et le kit DSI sortent de la pile. Bonus 9 200 € (700 + 7 000 + 600 + 900) pour une offre de base à 3 950 € (3 500 + 450)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Rareté et urgence sur les bonus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Fait pour le suivi Signature, offert pour une signature dans les 7 jours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0E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1A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