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line="360" w:lineRule="auto"/>
        <w:contextualSpacing w:val="0"/>
        <w:jc w:val="both"/>
        <w:rPr>
          <w:color w:val="333333"/>
          <w:sz w:val="20"/>
          <w:szCs w:val="20"/>
        </w:rPr>
      </w:pPr>
      <w:r w:rsidDel="00000000" w:rsidR="00000000" w:rsidRPr="00000000">
        <w:rPr>
          <w:color w:val="333333"/>
          <w:sz w:val="20"/>
          <w:szCs w:val="20"/>
          <w:rtl w:val="0"/>
        </w:rPr>
        <w:t xml:space="preserve">Spitch</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line="360" w:lineRule="auto"/>
        <w:contextualSpacing w:val="0"/>
        <w:jc w:val="both"/>
        <w:rPr>
          <w:color w:val="333333"/>
          <w:sz w:val="20"/>
          <w:szCs w:val="2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line="360" w:lineRule="auto"/>
        <w:contextualSpacing w:val="0"/>
        <w:jc w:val="both"/>
        <w:rPr>
          <w:color w:val="333333"/>
          <w:sz w:val="20"/>
          <w:szCs w:val="20"/>
        </w:rPr>
      </w:pPr>
      <w:r w:rsidDel="00000000" w:rsidR="00000000" w:rsidRPr="00000000">
        <w:rPr>
          <w:color w:val="333333"/>
          <w:sz w:val="20"/>
          <w:szCs w:val="20"/>
          <w:rtl w:val="0"/>
        </w:rPr>
        <w:t xml:space="preserve">L’application EatInTime permet à vos clients de consulter votre carte, vérifier les ingrédients et les allergènes qui composent un plat ou un menu, composer leur menu, quels que soient les suppléments ou variantes que vous proposez, et d’envoyer la commande au comptoir.</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line="360" w:lineRule="auto"/>
        <w:contextualSpacing w:val="0"/>
        <w:jc w:val="both"/>
        <w:rPr>
          <w:color w:val="333333"/>
          <w:sz w:val="20"/>
          <w:szCs w:val="20"/>
        </w:rPr>
      </w:pPr>
      <w:r w:rsidDel="00000000" w:rsidR="00000000" w:rsidRPr="00000000">
        <w:rPr>
          <w:color w:val="333333"/>
          <w:sz w:val="20"/>
          <w:szCs w:val="20"/>
          <w:rtl w:val="0"/>
        </w:rPr>
        <w:t xml:space="preserve">Le serveur reprend ainsi tout son rôle et cesse de courir de table en table pour donner des informations répétitives sur les plats et se laisser déborder à ne plus pouvoir que servir les clients. Son temps retrouvé lui permet de mieux conseiller les clients et de les orienter vers des plats plus qualitatifs, générant un meilleur chiffre d’affaire pour vous.</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line="360" w:lineRule="auto"/>
        <w:contextualSpacing w:val="0"/>
        <w:jc w:val="both"/>
        <w:rPr>
          <w:color w:val="333333"/>
          <w:sz w:val="20"/>
          <w:szCs w:val="20"/>
        </w:rPr>
      </w:pPr>
      <w:r w:rsidDel="00000000" w:rsidR="00000000" w:rsidRPr="00000000">
        <w:rPr>
          <w:color w:val="333333"/>
          <w:sz w:val="20"/>
          <w:szCs w:val="20"/>
          <w:rtl w:val="0"/>
        </w:rPr>
        <w:t xml:space="preserve">Nous augmentons ainsi la qualité de service chez les utilisateurs de ces tablette tactiles, du fait d’une meilleure utilisation du rôle du serveur.</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line="360" w:lineRule="auto"/>
        <w:contextualSpacing w:val="0"/>
        <w:jc w:val="both"/>
        <w:rPr>
          <w:color w:val="333333"/>
          <w:sz w:val="20"/>
          <w:szCs w:val="20"/>
        </w:rPr>
      </w:pPr>
      <w:r w:rsidDel="00000000" w:rsidR="00000000" w:rsidRPr="00000000">
        <w:rPr>
          <w:color w:val="333333"/>
          <w:sz w:val="20"/>
          <w:szCs w:val="20"/>
          <w:rtl w:val="0"/>
        </w:rPr>
        <w:t xml:space="preserve">L’application EatInTIme permet à vos clients de commander directement depuis la tablette tactile. Vos clients quelques soient leurs nombres peuvent parcourir votre carte, faire leur sélection, et envoyer la commande au comptoir. Et au cours du repas de faire des commandes additionnel tel que l’eau, le pain et tout autre service que vous proposez.</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line="360" w:lineRule="auto"/>
        <w:contextualSpacing w:val="0"/>
        <w:jc w:val="both"/>
        <w:rPr>
          <w:color w:val="333333"/>
          <w:sz w:val="20"/>
          <w:szCs w:val="20"/>
        </w:rPr>
      </w:pPr>
      <w:r w:rsidDel="00000000" w:rsidR="00000000" w:rsidRPr="00000000">
        <w:rPr>
          <w:color w:val="333333"/>
          <w:sz w:val="20"/>
          <w:szCs w:val="20"/>
          <w:rtl w:val="0"/>
        </w:rPr>
        <w:t xml:space="preserve">L’application offre également un moment d’échange et un support supplémentaire pendant le temps d’attente du plat.</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spacing w:line="360" w:lineRule="auto"/>
        <w:contextualSpacing w:val="0"/>
        <w:jc w:val="both"/>
        <w:rPr/>
      </w:pPr>
      <w:r w:rsidDel="00000000" w:rsidR="00000000" w:rsidRPr="00000000">
        <w:rPr>
          <w:color w:val="333333"/>
          <w:sz w:val="20"/>
          <w:szCs w:val="20"/>
          <w:rtl w:val="0"/>
        </w:rPr>
        <w:t xml:space="preserve">Enfin, la tablette peut être rentabilisée via des publicités que vous pouvez administrer en proposant aux acteurs locaux intéressés d’inclure leur visuels publicitaires sur les tables moyennant un abonnement ou encore via notre accompagnement pour des solutions de financement..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