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0"/>
        <w:jc w:val="center"/>
      </w:pPr>
      <w:r>
        <w:rPr>
          <w:rFonts w:ascii="Times New Roman" w:cs="Times New Roman" w:eastAsia="Times New Roman" w:hAnsi="Times New Roman"/>
          <w:b/>
          <w:bCs/>
          <w:sz w:val="44"/>
          <w:szCs w:val="44"/>
        </w:rPr>
        <w:t xml:space="preserve">Planning at the Speed of Control</w:t>
      </w:r>
    </w:p>
    <w:p>
      <w:pPr>
        <w:spacing w:after="900"/>
        <w:jc w:val="center"/>
      </w:pPr>
      <w:r>
        <w:rPr>
          <w:rFonts w:ascii="Times New Roman" w:cs="Times New Roman" w:eastAsia="Times New Roman" w:hAnsi="Times New Roman"/>
          <w:sz w:val="28"/>
          <w:szCs w:val="28"/>
        </w:rPr>
        <w:t xml:space="preserve">Profiling and fusing world-model robot planning into a single GPU kernel</w:t>
      </w:r>
    </w:p>
    <w:p>
      <w:pPr>
        <w:spacing w:after="120"/>
        <w:jc w:val="center"/>
      </w:pPr>
      <w:r>
        <w:rPr>
          <w:rFonts w:ascii="Times New Roman" w:cs="Times New Roman" w:eastAsia="Times New Roman" w:hAnsi="Times New Roman"/>
          <w:sz w:val="26"/>
          <w:szCs w:val="26"/>
        </w:rPr>
        <w:t xml:space="preserve">Antoine Nguyen</w:t>
      </w:r>
    </w:p>
    <w:p>
      <w:pPr>
        <w:spacing w:after="600"/>
        <w:jc w:val="center"/>
      </w:pPr>
      <w:r>
        <w:rPr>
          <w:rFonts w:ascii="Times New Roman" w:cs="Times New Roman" w:eastAsia="Times New Roman" w:hAnsi="Times New Roman"/>
          <w:sz w:val="24"/>
          <w:szCs w:val="24"/>
        </w:rPr>
        <w:t xml:space="preserve">Student number 24433599</w:t>
      </w:r>
    </w:p>
    <w:p>
      <w:pPr>
        <w:spacing w:after="120"/>
        <w:jc w:val="center"/>
      </w:pPr>
      <w:r>
        <w:rPr>
          <w:rFonts w:ascii="Times New Roman" w:cs="Times New Roman" w:eastAsia="Times New Roman" w:hAnsi="Times New Roman"/>
          <w:sz w:val="24"/>
          <w:szCs w:val="24"/>
        </w:rPr>
        <w:t xml:space="preserve">Project report</w:t>
      </w:r>
    </w:p>
    <w:p>
      <w:pPr>
        <w:spacing w:after="600"/>
        <w:jc w:val="center"/>
      </w:pPr>
      <w:r>
        <w:rPr>
          <w:rFonts w:ascii="Times New Roman" w:cs="Times New Roman" w:eastAsia="Times New Roman" w:hAnsi="Times New Roman"/>
          <w:sz w:val="24"/>
          <w:szCs w:val="24"/>
        </w:rPr>
        <w:t xml:space="preserve">[Faculty / School], University of Technology Sydney</w:t>
      </w:r>
    </w:p>
    <w:p>
      <w:pPr>
        <w:spacing w:after="120"/>
        <w:jc w:val="center"/>
      </w:pPr>
      <w:r>
        <w:rPr>
          <w:rFonts w:ascii="Times New Roman" w:cs="Times New Roman" w:eastAsia="Times New Roman" w:hAnsi="Times New Roman"/>
          <w:sz w:val="24"/>
          <w:szCs w:val="24"/>
        </w:rPr>
        <w:t xml:space="preserve">Supervisor: [Supervisor name]</w:t>
      </w:r>
    </w:p>
    <w:p>
      <w:pPr>
        <w:spacing w:after="120"/>
        <w:jc w:val="center"/>
      </w:pPr>
      <w:r>
        <w:rPr>
          <w:rFonts w:ascii="Times New Roman" w:cs="Times New Roman" w:eastAsia="Times New Roman" w:hAnsi="Times New Roman"/>
          <w:sz w:val="24"/>
          <w:szCs w:val="24"/>
        </w:rPr>
        <w:t xml:space="preserve">October 2026</w:t>
      </w:r>
    </w:p>
    <w:p>
      <w:r>
        <w:br w:type="page"/>
      </w:r>
    </w:p>
    <w:p>
      <w:pPr>
        <w:pStyle w:val="Heading1"/>
        <w:keepNext/>
        <w:spacing w:after="120" w:before="360"/>
      </w:pPr>
      <w:bookmarkStart w:name="_Toc1" w:id="1"/>
      <w:r>
        <w:rPr>
          <w:rFonts w:ascii="Times New Roman" w:cs="Times New Roman" w:eastAsia="Times New Roman" w:hAnsi="Times New Roman"/>
          <w:b/>
          <w:bCs/>
          <w:color w:val="000000"/>
          <w:sz w:val="32"/>
          <w:szCs w:val="32"/>
        </w:rPr>
        <w:t xml:space="preserve">Executive summary</w:t>
      </w:r>
      <w:bookmarkEnd w:id="1"/>
    </w:p>
    <w:p>
      <w:pPr>
        <w:spacing w:after="120" w:line="276"/>
        <w:jc w:val="both"/>
      </w:pPr>
      <w:r>
        <w:rPr>
          <w:rFonts w:ascii="Arial" w:cs="Arial" w:eastAsia="Arial" w:hAnsi="Arial"/>
          <w:sz w:val="22"/>
          <w:szCs w:val="22"/>
        </w:rPr>
        <w:t xml:space="preserve">Robots that plan with a learned world model imagine the outcome of hundreds of candidate actions before they move, and that imagination takes time. This project studies LeWorldModel (LeWM), a compact AI world model that plans by searching over action sequences in its own learned representation, and asks why one plan for one robot still takes 622 milliseconds on an NVIDIA H100, one of the fastest GPUs available, and how much of that time can be removed without retraining the model or making the robot less successful. We treat the question as a data analytics problem. We collected per-call latency records, planner telemetry and component timings, prepared them into tidy datasets, and used them to build a stage-by-stage compute profile of the planner. The profile showed three things. A third of the time (207 ms) is spent re-encoding the same two camera images 60 times. Most of the rest (368 ms) is the planner's 30 optimisation iterations, each of which costs the same 20 ms in PyTorch whether it evaluates 60 candidate plans or 300: a fitted latency model attributes 99% of the cost to fixed per-launch overhead rather than to computation. And the arithmetic itself is negligible, because the model is tiny and the work is a long chain of small dependent steps. We designed the solution against that profile. It encodes each image once, uses a sample-efficient optimiser (iCEM) that evaluates 3.2 times fewer candidates, and runs the whole plan, from the raw camera frame to the chosen action distribution, as one persistent GPU program (a "megakernel") written with the ThunderKittens library. One plan now takes 46.5 ms (13.4 times faster; 95% CI 13.0 to 13.5), and 3.9 times faster than a carefully optimised PyTorch implementation, with a 90th percentile of 47.0 ms. Task success on 300 paired Push-T episodes is unchanged: 260 against 261 successes, a paired difference of −0.3 percentage points (95% CI −4.3 to +3.7; exact McNemar p = 1.00). The kernel's numerical error matches the accepted half-precision path. The solution pack contains the datasets and a single Python program that regenerates every number and chart in this report.</w:t>
      </w:r>
    </w:p>
    <w:p>
      <w:pPr>
        <w:pStyle w:val="Heading1"/>
        <w:keepNext/>
        <w:spacing w:after="120" w:before="360"/>
      </w:pPr>
      <w:bookmarkStart w:name="_Toc2" w:id="2"/>
      <w:r>
        <w:rPr>
          <w:rFonts w:ascii="Times New Roman" w:cs="Times New Roman" w:eastAsia="Times New Roman" w:hAnsi="Times New Roman"/>
          <w:b/>
          <w:bCs/>
          <w:color w:val="000000"/>
          <w:sz w:val="32"/>
          <w:szCs w:val="32"/>
        </w:rPr>
        <w:t xml:space="preserve">Acknowledgements</w:t>
      </w:r>
      <w:bookmarkEnd w:id="2"/>
    </w:p>
    <w:p>
      <w:pPr>
        <w:spacing w:after="120" w:line="276"/>
      </w:pPr>
      <w:r>
        <w:rPr>
          <w:rFonts w:ascii="Arial" w:cs="Arial" w:eastAsia="Arial" w:hAnsi="Arial"/>
          <w:sz w:val="22"/>
          <w:szCs w:val="22"/>
        </w:rPr>
        <w:t xml:space="preserve">I thank my supervisor for their guidance, the authors of LeWorldModel and stable-worldmodel for releasing the model, the planner and the benchmark harness, and the Hazy Research group for ThunderKittens. GPU time was rented on Modal.</w:t>
      </w:r>
    </w:p>
    <w:p>
      <w:pPr>
        <w:pStyle w:val="Heading1"/>
        <w:keepNext/>
        <w:spacing w:after="120" w:before="360"/>
      </w:pPr>
      <w:bookmarkStart w:name="_Toc3" w:id="3"/>
      <w:r>
        <w:rPr>
          <w:rFonts w:ascii="Times New Roman" w:cs="Times New Roman" w:eastAsia="Times New Roman" w:hAnsi="Times New Roman"/>
          <w:b/>
          <w:bCs/>
          <w:color w:val="000000"/>
          <w:sz w:val="32"/>
          <w:szCs w:val="32"/>
        </w:rPr>
        <w:t xml:space="preserve">Declaration</w:t>
      </w:r>
      <w:bookmarkEnd w:id="3"/>
    </w:p>
    <w:p>
      <w:pPr>
        <w:spacing w:after="120" w:line="276"/>
      </w:pPr>
      <w:r>
        <w:rPr>
          <w:rFonts w:ascii="Arial" w:cs="Arial" w:eastAsia="Arial" w:hAnsi="Arial"/>
          <w:sz w:val="22"/>
          <w:szCs w:val="22"/>
        </w:rPr>
        <w:t xml:space="preserve">The assignment cover sheet is attached to this submission. I declare that this report is my own work, that it has not been submitted for any other degree or diploma, and that all sources of information and assistance have been acknowledged. Generative AI tools were used as a coding assistant, as a literature search aid and as a writing aid; every source cited was checked against the primary document, and every result reported was produced by the code and data in the solution pack (Appendix B). No ethics approval was required: the research involved no human or animal participants.</w:t>
      </w:r>
    </w:p>
    <w:p>
      <w:r>
        <w:br w:type="page"/>
      </w:r>
    </w:p>
    <w:p>
      <w:pPr>
        <w:spacing w:after="240"/>
      </w:pPr>
      <w:r>
        <w:rPr>
          <w:rFonts w:ascii="Times New Roman" w:cs="Times New Roman" w:eastAsia="Times New Roman" w:hAnsi="Times New Roman"/>
          <w:b/>
          <w:bCs/>
          <w:sz w:val="32"/>
          <w:szCs w:val="32"/>
        </w:rPr>
        <w:t xml:space="preserve">Table of Contents</w:t>
      </w:r>
    </w:p>
    <w:sdt>
      <w:sdtPr>
        <w:alias w:val="Contents"/>
      </w:sdtPr>
      <w:sdtContent>
        <w:p>
          <w:pPr>
            <w:pStyle w:val="TOC1"/>
            <w:tabs>
              <w:tab w:val="right" w:pos="9026" w:leader="dot"/>
            </w:tabs>
          </w:pPr>
          <w:r>
            <w:fldChar w:fldCharType="begin" w:dirty="true"/>
            <w:instrText xml:space="preserve">TOC \h \o "1-3"</w:instrText>
            <w:fldChar w:fldCharType="separate"/>
          </w:r>
          <w:hyperlink w:history="1" w:anchor="_Toc1">
            <w:r>
              <w:t xml:space="preserve">Executive summary</w:t>
            </w:r>
            <w:r>
              <w:tab/>
            </w:r>
            <w:r>
              <w:fldChar w:fldCharType="begin" w:dirty="true"/>
              <w:instrText xml:space="preserve">PAGEREF _Toc1 \h</w:instrText>
              <w:fldChar w:fldCharType="separate"/>
              <w:fldChar w:fldCharType="end"/>
            </w:r>
          </w:hyperlink>
        </w:p>
        <w:p>
          <w:pPr>
            <w:pStyle w:val="TOC1"/>
            <w:tabs>
              <w:tab w:val="right" w:pos="9026" w:leader="dot"/>
            </w:tabs>
          </w:pPr>
          <w:hyperlink w:history="1" w:anchor="_Toc2">
            <w:r>
              <w:t xml:space="preserve">Acknowledgements</w:t>
            </w:r>
            <w:r>
              <w:tab/>
            </w:r>
            <w:r>
              <w:fldChar w:fldCharType="begin" w:dirty="true"/>
              <w:instrText xml:space="preserve">PAGEREF _Toc2 \h</w:instrText>
              <w:fldChar w:fldCharType="separate"/>
              <w:fldChar w:fldCharType="end"/>
            </w:r>
          </w:hyperlink>
        </w:p>
        <w:p>
          <w:pPr>
            <w:pStyle w:val="TOC1"/>
            <w:tabs>
              <w:tab w:val="right" w:pos="9026" w:leader="dot"/>
            </w:tabs>
          </w:pPr>
          <w:hyperlink w:history="1" w:anchor="_Toc3">
            <w:r>
              <w:t xml:space="preserve">Declaration</w:t>
            </w:r>
            <w:r>
              <w:tab/>
            </w:r>
            <w:r>
              <w:fldChar w:fldCharType="begin" w:dirty="true"/>
              <w:instrText xml:space="preserve">PAGEREF _Toc3 \h</w:instrText>
              <w:fldChar w:fldCharType="separate"/>
              <w:fldChar w:fldCharType="end"/>
            </w:r>
          </w:hyperlink>
        </w:p>
        <w:p>
          <w:pPr>
            <w:pStyle w:val="TOC1"/>
            <w:tabs>
              <w:tab w:val="right" w:pos="9026" w:leader="dot"/>
            </w:tabs>
          </w:pPr>
          <w:hyperlink w:history="1" w:anchor="_Toc4">
            <w:r>
              <w:t xml:space="preserve">1. Introduction</w:t>
            </w:r>
            <w:r>
              <w:tab/>
            </w:r>
            <w:r>
              <w:fldChar w:fldCharType="begin" w:dirty="true"/>
              <w:instrText xml:space="preserve">PAGEREF _Toc4 \h</w:instrText>
              <w:fldChar w:fldCharType="separate"/>
              <w:fldChar w:fldCharType="end"/>
            </w:r>
          </w:hyperlink>
        </w:p>
        <w:p>
          <w:pPr>
            <w:pStyle w:val="TOC2"/>
            <w:tabs>
              <w:tab w:val="right" w:pos="9026" w:leader="dot"/>
            </w:tabs>
          </w:pPr>
          <w:hyperlink w:history="1" w:anchor="_Toc5">
            <w:r>
              <w:t xml:space="preserve">1.1 Motivation</w:t>
            </w:r>
            <w:r>
              <w:tab/>
            </w:r>
            <w:r>
              <w:fldChar w:fldCharType="begin" w:dirty="true"/>
              <w:instrText xml:space="preserve">PAGEREF _Toc5 \h</w:instrText>
              <w:fldChar w:fldCharType="separate"/>
              <w:fldChar w:fldCharType="end"/>
            </w:r>
          </w:hyperlink>
        </w:p>
        <w:p>
          <w:pPr>
            <w:pStyle w:val="TOC2"/>
            <w:tabs>
              <w:tab w:val="right" w:pos="9026" w:leader="dot"/>
            </w:tabs>
          </w:pPr>
          <w:hyperlink w:history="1" w:anchor="_Toc6">
            <w:r>
              <w:t xml:space="preserve">1.2 Aim and objectives</w:t>
            </w:r>
            <w:r>
              <w:tab/>
            </w:r>
            <w:r>
              <w:fldChar w:fldCharType="begin" w:dirty="true"/>
              <w:instrText xml:space="preserve">PAGEREF _Toc6 \h</w:instrText>
              <w:fldChar w:fldCharType="separate"/>
              <w:fldChar w:fldCharType="end"/>
            </w:r>
          </w:hyperlink>
        </w:p>
        <w:p>
          <w:pPr>
            <w:pStyle w:val="TOC2"/>
            <w:tabs>
              <w:tab w:val="right" w:pos="9026" w:leader="dot"/>
            </w:tabs>
          </w:pPr>
          <w:hyperlink w:history="1" w:anchor="_Toc7">
            <w:r>
              <w:t xml:space="preserve">1.3 Relevance to data analytics and AI</w:t>
            </w:r>
            <w:r>
              <w:tab/>
            </w:r>
            <w:r>
              <w:fldChar w:fldCharType="begin" w:dirty="true"/>
              <w:instrText xml:space="preserve">PAGEREF _Toc7 \h</w:instrText>
              <w:fldChar w:fldCharType="separate"/>
              <w:fldChar w:fldCharType="end"/>
            </w:r>
          </w:hyperlink>
        </w:p>
        <w:p>
          <w:pPr>
            <w:pStyle w:val="TOC2"/>
            <w:tabs>
              <w:tab w:val="right" w:pos="9026" w:leader="dot"/>
            </w:tabs>
          </w:pPr>
          <w:hyperlink w:history="1" w:anchor="_Toc8">
            <w:r>
              <w:t xml:space="preserve">1.4 Scope and structure</w:t>
            </w:r>
            <w:r>
              <w:tab/>
            </w:r>
            <w:r>
              <w:fldChar w:fldCharType="begin" w:dirty="true"/>
              <w:instrText xml:space="preserve">PAGEREF _Toc8 \h</w:instrText>
              <w:fldChar w:fldCharType="separate"/>
              <w:fldChar w:fldCharType="end"/>
            </w:r>
          </w:hyperlink>
        </w:p>
        <w:p>
          <w:pPr>
            <w:pStyle w:val="TOC1"/>
            <w:tabs>
              <w:tab w:val="right" w:pos="9026" w:leader="dot"/>
            </w:tabs>
          </w:pPr>
          <w:hyperlink w:history="1" w:anchor="_Toc9">
            <w:r>
              <w:t xml:space="preserve">2. Background and literature review</w:t>
            </w:r>
            <w:r>
              <w:tab/>
            </w:r>
            <w:r>
              <w:fldChar w:fldCharType="begin" w:dirty="true"/>
              <w:instrText xml:space="preserve">PAGEREF _Toc9 \h</w:instrText>
              <w:fldChar w:fldCharType="separate"/>
              <w:fldChar w:fldCharType="end"/>
            </w:r>
          </w:hyperlink>
        </w:p>
        <w:p>
          <w:pPr>
            <w:pStyle w:val="TOC2"/>
            <w:tabs>
              <w:tab w:val="right" w:pos="9026" w:leader="dot"/>
            </w:tabs>
          </w:pPr>
          <w:hyperlink w:history="1" w:anchor="_Toc10">
            <w:r>
              <w:t xml:space="preserve">2.1 World models that plan in a learned representation</w:t>
            </w:r>
            <w:r>
              <w:tab/>
            </w:r>
            <w:r>
              <w:fldChar w:fldCharType="begin" w:dirty="true"/>
              <w:instrText xml:space="preserve">PAGEREF _Toc10 \h</w:instrText>
              <w:fldChar w:fldCharType="separate"/>
              <w:fldChar w:fldCharType="end"/>
            </w:r>
          </w:hyperlink>
        </w:p>
        <w:p>
          <w:pPr>
            <w:pStyle w:val="TOC2"/>
            <w:tabs>
              <w:tab w:val="right" w:pos="9026" w:leader="dot"/>
            </w:tabs>
          </w:pPr>
          <w:hyperlink w:history="1" w:anchor="_Toc11">
            <w:r>
              <w:t xml:space="preserve">2.2 Sampling-based planning: CEM and iCEM</w:t>
            </w:r>
            <w:r>
              <w:tab/>
            </w:r>
            <w:r>
              <w:fldChar w:fldCharType="begin" w:dirty="true"/>
              <w:instrText xml:space="preserve">PAGEREF _Toc11 \h</w:instrText>
              <w:fldChar w:fldCharType="separate"/>
              <w:fldChar w:fldCharType="end"/>
            </w:r>
          </w:hyperlink>
        </w:p>
        <w:p>
          <w:pPr>
            <w:pStyle w:val="TOC2"/>
            <w:tabs>
              <w:tab w:val="right" w:pos="9026" w:leader="dot"/>
            </w:tabs>
          </w:pPr>
          <w:hyperlink w:history="1" w:anchor="_Toc12">
            <w:r>
              <w:t xml:space="preserve">2.3 Running small AI models fast on a GPU</w:t>
            </w:r>
            <w:r>
              <w:tab/>
            </w:r>
            <w:r>
              <w:fldChar w:fldCharType="begin" w:dirty="true"/>
              <w:instrText xml:space="preserve">PAGEREF _Toc12 \h</w:instrText>
              <w:fldChar w:fldCharType="separate"/>
              <w:fldChar w:fldCharType="end"/>
            </w:r>
          </w:hyperlink>
        </w:p>
        <w:p>
          <w:pPr>
            <w:pStyle w:val="TOC2"/>
            <w:tabs>
              <w:tab w:val="right" w:pos="9026" w:leader="dot"/>
            </w:tabs>
          </w:pPr>
          <w:hyperlink w:history="1" w:anchor="_Toc13">
            <w:r>
              <w:t xml:space="preserve">2.4 The gap</w:t>
            </w:r>
            <w:r>
              <w:tab/>
            </w:r>
            <w:r>
              <w:fldChar w:fldCharType="begin" w:dirty="true"/>
              <w:instrText xml:space="preserve">PAGEREF _Toc13 \h</w:instrText>
              <w:fldChar w:fldCharType="separate"/>
              <w:fldChar w:fldCharType="end"/>
            </w:r>
          </w:hyperlink>
        </w:p>
        <w:p>
          <w:pPr>
            <w:pStyle w:val="TOC1"/>
            <w:tabs>
              <w:tab w:val="right" w:pos="9026" w:leader="dot"/>
            </w:tabs>
          </w:pPr>
          <w:hyperlink w:history="1" w:anchor="_Toc14">
            <w:r>
              <w:t xml:space="preserve">3. Methodology</w:t>
            </w:r>
            <w:r>
              <w:tab/>
            </w:r>
            <w:r>
              <w:fldChar w:fldCharType="begin" w:dirty="true"/>
              <w:instrText xml:space="preserve">PAGEREF _Toc14 \h</w:instrText>
              <w:fldChar w:fldCharType="separate"/>
              <w:fldChar w:fldCharType="end"/>
            </w:r>
          </w:hyperlink>
        </w:p>
        <w:p>
          <w:pPr>
            <w:pStyle w:val="TOC2"/>
            <w:tabs>
              <w:tab w:val="right" w:pos="9026" w:leader="dot"/>
            </w:tabs>
          </w:pPr>
          <w:hyperlink w:history="1" w:anchor="_Toc15">
            <w:r>
              <w:t xml:space="preserve">3.1 Research design</w:t>
            </w:r>
            <w:r>
              <w:tab/>
            </w:r>
            <w:r>
              <w:fldChar w:fldCharType="begin" w:dirty="true"/>
              <w:instrText xml:space="preserve">PAGEREF _Toc15 \h</w:instrText>
              <w:fldChar w:fldCharType="separate"/>
              <w:fldChar w:fldCharType="end"/>
            </w:r>
          </w:hyperlink>
        </w:p>
        <w:p>
          <w:pPr>
            <w:pStyle w:val="TOC2"/>
            <w:tabs>
              <w:tab w:val="right" w:pos="9026" w:leader="dot"/>
            </w:tabs>
          </w:pPr>
          <w:hyperlink w:history="1" w:anchor="_Toc16">
            <w:r>
              <w:t xml:space="preserve">3.2 System under study</w:t>
            </w:r>
            <w:r>
              <w:tab/>
            </w:r>
            <w:r>
              <w:fldChar w:fldCharType="begin" w:dirty="true"/>
              <w:instrText xml:space="preserve">PAGEREF _Toc16 \h</w:instrText>
              <w:fldChar w:fldCharType="separate"/>
              <w:fldChar w:fldCharType="end"/>
            </w:r>
          </w:hyperlink>
        </w:p>
        <w:p>
          <w:pPr>
            <w:pStyle w:val="TOC2"/>
            <w:tabs>
              <w:tab w:val="right" w:pos="9026" w:leader="dot"/>
            </w:tabs>
          </w:pPr>
          <w:hyperlink w:history="1" w:anchor="_Toc17">
            <w:r>
              <w:t xml:space="preserve">3.3 Data collection</w:t>
            </w:r>
            <w:r>
              <w:tab/>
            </w:r>
            <w:r>
              <w:fldChar w:fldCharType="begin" w:dirty="true"/>
              <w:instrText xml:space="preserve">PAGEREF _Toc17 \h</w:instrText>
              <w:fldChar w:fldCharType="separate"/>
              <w:fldChar w:fldCharType="end"/>
            </w:r>
          </w:hyperlink>
        </w:p>
        <w:p>
          <w:pPr>
            <w:pStyle w:val="TOC2"/>
            <w:tabs>
              <w:tab w:val="right" w:pos="9026" w:leader="dot"/>
            </w:tabs>
          </w:pPr>
          <w:hyperlink w:history="1" w:anchor="_Toc18">
            <w:r>
              <w:t xml:space="preserve">3.4 Data preparation and preprocessing</w:t>
            </w:r>
            <w:r>
              <w:tab/>
            </w:r>
            <w:r>
              <w:fldChar w:fldCharType="begin" w:dirty="true"/>
              <w:instrText xml:space="preserve">PAGEREF _Toc18 \h</w:instrText>
              <w:fldChar w:fldCharType="separate"/>
              <w:fldChar w:fldCharType="end"/>
            </w:r>
          </w:hyperlink>
        </w:p>
        <w:p>
          <w:pPr>
            <w:pStyle w:val="TOC2"/>
            <w:tabs>
              <w:tab w:val="right" w:pos="9026" w:leader="dot"/>
            </w:tabs>
          </w:pPr>
          <w:hyperlink w:history="1" w:anchor="_Toc19">
            <w:r>
              <w:t xml:space="preserve">3.5 Analysis methods</w:t>
            </w:r>
            <w:r>
              <w:tab/>
            </w:r>
            <w:r>
              <w:fldChar w:fldCharType="begin" w:dirty="true"/>
              <w:instrText xml:space="preserve">PAGEREF _Toc19 \h</w:instrText>
              <w:fldChar w:fldCharType="separate"/>
              <w:fldChar w:fldCharType="end"/>
            </w:r>
          </w:hyperlink>
        </w:p>
        <w:p>
          <w:pPr>
            <w:pStyle w:val="TOC2"/>
            <w:tabs>
              <w:tab w:val="right" w:pos="9026" w:leader="dot"/>
            </w:tabs>
          </w:pPr>
          <w:hyperlink w:history="1" w:anchor="_Toc20">
            <w:r>
              <w:t xml:space="preserve">3.6 Evaluation design</w:t>
            </w:r>
            <w:r>
              <w:tab/>
            </w:r>
            <w:r>
              <w:fldChar w:fldCharType="begin" w:dirty="true"/>
              <w:instrText xml:space="preserve">PAGEREF _Toc20 \h</w:instrText>
              <w:fldChar w:fldCharType="separate"/>
              <w:fldChar w:fldCharType="end"/>
            </w:r>
          </w:hyperlink>
        </w:p>
        <w:p>
          <w:pPr>
            <w:pStyle w:val="TOC2"/>
            <w:tabs>
              <w:tab w:val="right" w:pos="9026" w:leader="dot"/>
            </w:tabs>
          </w:pPr>
          <w:hyperlink w:history="1" w:anchor="_Toc21">
            <w:r>
              <w:t xml:space="preserve">3.7 Tools and implementation</w:t>
            </w:r>
            <w:r>
              <w:tab/>
            </w:r>
            <w:r>
              <w:fldChar w:fldCharType="begin" w:dirty="true"/>
              <w:instrText xml:space="preserve">PAGEREF _Toc21 \h</w:instrText>
              <w:fldChar w:fldCharType="separate"/>
              <w:fldChar w:fldCharType="end"/>
            </w:r>
          </w:hyperlink>
        </w:p>
        <w:p>
          <w:pPr>
            <w:pStyle w:val="TOC1"/>
            <w:tabs>
              <w:tab w:val="right" w:pos="9026" w:leader="dot"/>
            </w:tabs>
          </w:pPr>
          <w:hyperlink w:history="1" w:anchor="_Toc22">
            <w:r>
              <w:t xml:space="preserve">4. Compute-profile analysis</w:t>
            </w:r>
            <w:r>
              <w:tab/>
            </w:r>
            <w:r>
              <w:fldChar w:fldCharType="begin" w:dirty="true"/>
              <w:instrText xml:space="preserve">PAGEREF _Toc22 \h</w:instrText>
              <w:fldChar w:fldCharType="separate"/>
              <w:fldChar w:fldCharType="end"/>
            </w:r>
          </w:hyperlink>
        </w:p>
        <w:p>
          <w:pPr>
            <w:pStyle w:val="TOC2"/>
            <w:tabs>
              <w:tab w:val="right" w:pos="9026" w:leader="dot"/>
            </w:tabs>
          </w:pPr>
          <w:hyperlink w:history="1" w:anchor="_Toc23">
            <w:r>
              <w:t xml:space="preserve">4.1 Where a plan's time goes</w:t>
            </w:r>
            <w:r>
              <w:tab/>
            </w:r>
            <w:r>
              <w:fldChar w:fldCharType="begin" w:dirty="true"/>
              <w:instrText xml:space="preserve">PAGEREF _Toc23 \h</w:instrText>
              <w:fldChar w:fldCharType="separate"/>
              <w:fldChar w:fldCharType="end"/>
            </w:r>
          </w:hyperlink>
        </w:p>
        <w:p>
          <w:pPr>
            <w:pStyle w:val="TOC2"/>
            <w:tabs>
              <w:tab w:val="right" w:pos="9026" w:leader="dot"/>
            </w:tabs>
          </w:pPr>
          <w:hyperlink w:history="1" w:anchor="_Toc24">
            <w:r>
              <w:t xml:space="preserve">4.2 Finding 1: a third of the time re-encodes the same two images</w:t>
            </w:r>
            <w:r>
              <w:tab/>
            </w:r>
            <w:r>
              <w:fldChar w:fldCharType="begin" w:dirty="true"/>
              <w:instrText xml:space="preserve">PAGEREF _Toc24 \h</w:instrText>
              <w:fldChar w:fldCharType="separate"/>
              <w:fldChar w:fldCharType="end"/>
            </w:r>
          </w:hyperlink>
        </w:p>
        <w:p>
          <w:pPr>
            <w:pStyle w:val="TOC2"/>
            <w:tabs>
              <w:tab w:val="right" w:pos="9026" w:leader="dot"/>
            </w:tabs>
          </w:pPr>
          <w:hyperlink w:history="1" w:anchor="_Toc25">
            <w:r>
              <w:t xml:space="preserve">4.3 Finding 2: the search is bound by overhead, not computation</w:t>
            </w:r>
            <w:r>
              <w:tab/>
            </w:r>
            <w:r>
              <w:fldChar w:fldCharType="begin" w:dirty="true"/>
              <w:instrText xml:space="preserve">PAGEREF _Toc25 \h</w:instrText>
              <w:fldChar w:fldCharType="separate"/>
              <w:fldChar w:fldCharType="end"/>
            </w:r>
          </w:hyperlink>
        </w:p>
        <w:p>
          <w:pPr>
            <w:pStyle w:val="TOC2"/>
            <w:tabs>
              <w:tab w:val="right" w:pos="9026" w:leader="dot"/>
            </w:tabs>
          </w:pPr>
          <w:hyperlink w:history="1" w:anchor="_Toc26">
            <w:r>
              <w:t xml:space="preserve">4.4 Finding 3: sample-efficient search only pays once overhead is gone</w:t>
            </w:r>
            <w:r>
              <w:tab/>
            </w:r>
            <w:r>
              <w:fldChar w:fldCharType="begin" w:dirty="true"/>
              <w:instrText xml:space="preserve">PAGEREF _Toc26 \h</w:instrText>
              <w:fldChar w:fldCharType="separate"/>
              <w:fldChar w:fldCharType="end"/>
            </w:r>
          </w:hyperlink>
        </w:p>
        <w:p>
          <w:pPr>
            <w:pStyle w:val="TOC2"/>
            <w:tabs>
              <w:tab w:val="right" w:pos="9026" w:leader="dot"/>
            </w:tabs>
          </w:pPr>
          <w:hyperlink w:history="1" w:anchor="_Toc27">
            <w:r>
              <w:t xml:space="preserve">4.5 From findings to design</w:t>
            </w:r>
            <w:r>
              <w:tab/>
            </w:r>
            <w:r>
              <w:fldChar w:fldCharType="begin" w:dirty="true"/>
              <w:instrText xml:space="preserve">PAGEREF _Toc27 \h</w:instrText>
              <w:fldChar w:fldCharType="separate"/>
              <w:fldChar w:fldCharType="end"/>
            </w:r>
          </w:hyperlink>
        </w:p>
        <w:p>
          <w:pPr>
            <w:pStyle w:val="TOC1"/>
            <w:tabs>
              <w:tab w:val="right" w:pos="9026" w:leader="dot"/>
            </w:tabs>
          </w:pPr>
          <w:hyperlink w:history="1" w:anchor="_Toc28">
            <w:r>
              <w:t xml:space="preserve">5. Solution design and development</w:t>
            </w:r>
            <w:r>
              <w:tab/>
            </w:r>
            <w:r>
              <w:fldChar w:fldCharType="begin" w:dirty="true"/>
              <w:instrText xml:space="preserve">PAGEREF _Toc28 \h</w:instrText>
              <w:fldChar w:fldCharType="separate"/>
              <w:fldChar w:fldCharType="end"/>
            </w:r>
          </w:hyperlink>
        </w:p>
        <w:p>
          <w:pPr>
            <w:pStyle w:val="TOC2"/>
            <w:tabs>
              <w:tab w:val="right" w:pos="9026" w:leader="dot"/>
            </w:tabs>
          </w:pPr>
          <w:hyperlink w:history="1" w:anchor="_Toc29">
            <w:r>
              <w:t xml:space="preserve">5.1 Encode each image once</w:t>
            </w:r>
            <w:r>
              <w:tab/>
            </w:r>
            <w:r>
              <w:fldChar w:fldCharType="begin" w:dirty="true"/>
              <w:instrText xml:space="preserve">PAGEREF _Toc29 \h</w:instrText>
              <w:fldChar w:fldCharType="separate"/>
              <w:fldChar w:fldCharType="end"/>
            </w:r>
          </w:hyperlink>
        </w:p>
        <w:p>
          <w:pPr>
            <w:pStyle w:val="TOC2"/>
            <w:tabs>
              <w:tab w:val="right" w:pos="9026" w:leader="dot"/>
            </w:tabs>
          </w:pPr>
          <w:hyperlink w:history="1" w:anchor="_Toc30">
            <w:r>
              <w:t xml:space="preserve">5.2 Search with iCEM</w:t>
            </w:r>
            <w:r>
              <w:tab/>
            </w:r>
            <w:r>
              <w:fldChar w:fldCharType="begin" w:dirty="true"/>
              <w:instrText xml:space="preserve">PAGEREF _Toc30 \h</w:instrText>
              <w:fldChar w:fldCharType="separate"/>
              <w:fldChar w:fldCharType="end"/>
            </w:r>
          </w:hyperlink>
        </w:p>
        <w:p>
          <w:pPr>
            <w:pStyle w:val="TOC2"/>
            <w:tabs>
              <w:tab w:val="right" w:pos="9026" w:leader="dot"/>
            </w:tabs>
          </w:pPr>
          <w:hyperlink w:history="1" w:anchor="_Toc31">
            <w:r>
              <w:t xml:space="preserve">5.3 One GPU program per plan</w:t>
            </w:r>
            <w:r>
              <w:tab/>
            </w:r>
            <w:r>
              <w:fldChar w:fldCharType="begin" w:dirty="true"/>
              <w:instrText xml:space="preserve">PAGEREF _Toc31 \h</w:instrText>
              <w:fldChar w:fldCharType="separate"/>
              <w:fldChar w:fldCharType="end"/>
            </w:r>
          </w:hyperlink>
        </w:p>
        <w:p>
          <w:pPr>
            <w:pStyle w:val="TOC2"/>
            <w:tabs>
              <w:tab w:val="right" w:pos="9026" w:leader="dot"/>
            </w:tabs>
          </w:pPr>
          <w:hyperlink w:history="1" w:anchor="_Toc32">
            <w:r>
              <w:t xml:space="preserve">5.4 The encoder inside the same program</w:t>
            </w:r>
            <w:r>
              <w:tab/>
            </w:r>
            <w:r>
              <w:fldChar w:fldCharType="begin" w:dirty="true"/>
              <w:instrText xml:space="preserve">PAGEREF _Toc32 \h</w:instrText>
              <w:fldChar w:fldCharType="separate"/>
              <w:fldChar w:fldCharType="end"/>
            </w:r>
          </w:hyperlink>
        </w:p>
        <w:p>
          <w:pPr>
            <w:pStyle w:val="TOC2"/>
            <w:tabs>
              <w:tab w:val="right" w:pos="9026" w:leader="dot"/>
            </w:tabs>
          </w:pPr>
          <w:hyperlink w:history="1" w:anchor="_Toc33">
            <w:r>
              <w:t xml:space="preserve">5.5 Numerical design</w:t>
            </w:r>
            <w:r>
              <w:tab/>
            </w:r>
            <w:r>
              <w:fldChar w:fldCharType="begin" w:dirty="true"/>
              <w:instrText xml:space="preserve">PAGEREF _Toc33 \h</w:instrText>
              <w:fldChar w:fldCharType="separate"/>
              <w:fldChar w:fldCharType="end"/>
            </w:r>
          </w:hyperlink>
        </w:p>
        <w:p>
          <w:pPr>
            <w:pStyle w:val="TOC2"/>
            <w:tabs>
              <w:tab w:val="right" w:pos="9026" w:leader="dot"/>
            </w:tabs>
          </w:pPr>
          <w:hyperlink w:history="1" w:anchor="_Toc34">
            <w:r>
              <w:t xml:space="preserve">5.6 Deployment</w:t>
            </w:r>
            <w:r>
              <w:tab/>
            </w:r>
            <w:r>
              <w:fldChar w:fldCharType="begin" w:dirty="true"/>
              <w:instrText xml:space="preserve">PAGEREF _Toc34 \h</w:instrText>
              <w:fldChar w:fldCharType="separate"/>
              <w:fldChar w:fldCharType="end"/>
            </w:r>
          </w:hyperlink>
        </w:p>
        <w:p>
          <w:pPr>
            <w:pStyle w:val="TOC1"/>
            <w:tabs>
              <w:tab w:val="right" w:pos="9026" w:leader="dot"/>
            </w:tabs>
          </w:pPr>
          <w:hyperlink w:history="1" w:anchor="_Toc35">
            <w:r>
              <w:t xml:space="preserve">6. Evaluation</w:t>
            </w:r>
            <w:r>
              <w:tab/>
            </w:r>
            <w:r>
              <w:fldChar w:fldCharType="begin" w:dirty="true"/>
              <w:instrText xml:space="preserve">PAGEREF _Toc35 \h</w:instrText>
              <w:fldChar w:fldCharType="separate"/>
              <w:fldChar w:fldCharType="end"/>
            </w:r>
          </w:hyperlink>
        </w:p>
        <w:p>
          <w:pPr>
            <w:pStyle w:val="TOC2"/>
            <w:tabs>
              <w:tab w:val="right" w:pos="9026" w:leader="dot"/>
            </w:tabs>
          </w:pPr>
          <w:hyperlink w:history="1" w:anchor="_Toc36">
            <w:r>
              <w:t xml:space="preserve">6.1 Latency</w:t>
            </w:r>
            <w:r>
              <w:tab/>
            </w:r>
            <w:r>
              <w:fldChar w:fldCharType="begin" w:dirty="true"/>
              <w:instrText xml:space="preserve">PAGEREF _Toc36 \h</w:instrText>
              <w:fldChar w:fldCharType="separate"/>
              <w:fldChar w:fldCharType="end"/>
            </w:r>
          </w:hyperlink>
        </w:p>
        <w:p>
          <w:pPr>
            <w:pStyle w:val="TOC2"/>
            <w:tabs>
              <w:tab w:val="right" w:pos="9026" w:leader="dot"/>
            </w:tabs>
          </w:pPr>
          <w:hyperlink w:history="1" w:anchor="_Toc37">
            <w:r>
              <w:t xml:space="preserve">6.2 The new compute profile</w:t>
            </w:r>
            <w:r>
              <w:tab/>
            </w:r>
            <w:r>
              <w:fldChar w:fldCharType="begin" w:dirty="true"/>
              <w:instrText xml:space="preserve">PAGEREF _Toc37 \h</w:instrText>
              <w:fldChar w:fldCharType="separate"/>
              <w:fldChar w:fldCharType="end"/>
            </w:r>
          </w:hyperlink>
        </w:p>
        <w:p>
          <w:pPr>
            <w:pStyle w:val="TOC2"/>
            <w:tabs>
              <w:tab w:val="right" w:pos="9026" w:leader="dot"/>
            </w:tabs>
          </w:pPr>
          <w:hyperlink w:history="1" w:anchor="_Toc38">
            <w:r>
              <w:t xml:space="preserve">6.3 Task success</w:t>
            </w:r>
            <w:r>
              <w:tab/>
            </w:r>
            <w:r>
              <w:fldChar w:fldCharType="begin" w:dirty="true"/>
              <w:instrText xml:space="preserve">PAGEREF _Toc38 \h</w:instrText>
              <w:fldChar w:fldCharType="separate"/>
              <w:fldChar w:fldCharType="end"/>
            </w:r>
          </w:hyperlink>
        </w:p>
        <w:p>
          <w:pPr>
            <w:pStyle w:val="TOC2"/>
            <w:tabs>
              <w:tab w:val="right" w:pos="9026" w:leader="dot"/>
            </w:tabs>
          </w:pPr>
          <w:hyperlink w:history="1" w:anchor="_Toc39">
            <w:r>
              <w:t xml:space="preserve">6.4 Numerical fidelity</w:t>
            </w:r>
            <w:r>
              <w:tab/>
            </w:r>
            <w:r>
              <w:fldChar w:fldCharType="begin" w:dirty="true"/>
              <w:instrText xml:space="preserve">PAGEREF _Toc39 \h</w:instrText>
              <w:fldChar w:fldCharType="separate"/>
              <w:fldChar w:fldCharType="end"/>
            </w:r>
          </w:hyperlink>
        </w:p>
        <w:p>
          <w:pPr>
            <w:pStyle w:val="TOC2"/>
            <w:tabs>
              <w:tab w:val="right" w:pos="9026" w:leader="dot"/>
            </w:tabs>
          </w:pPr>
          <w:hyperlink w:history="1" w:anchor="_Toc40">
            <w:r>
              <w:t xml:space="preserve">6.5 Validating the scaling model</w:t>
            </w:r>
            <w:r>
              <w:tab/>
            </w:r>
            <w:r>
              <w:fldChar w:fldCharType="begin" w:dirty="true"/>
              <w:instrText xml:space="preserve">PAGEREF _Toc40 \h</w:instrText>
              <w:fldChar w:fldCharType="separate"/>
              <w:fldChar w:fldCharType="end"/>
            </w:r>
          </w:hyperlink>
        </w:p>
        <w:p>
          <w:pPr>
            <w:pStyle w:val="TOC1"/>
            <w:tabs>
              <w:tab w:val="right" w:pos="9026" w:leader="dot"/>
            </w:tabs>
          </w:pPr>
          <w:hyperlink w:history="1" w:anchor="_Toc41">
            <w:r>
              <w:t xml:space="preserve">7. Discussion</w:t>
            </w:r>
            <w:r>
              <w:tab/>
            </w:r>
            <w:r>
              <w:fldChar w:fldCharType="begin" w:dirty="true"/>
              <w:instrText xml:space="preserve">PAGEREF _Toc41 \h</w:instrText>
              <w:fldChar w:fldCharType="separate"/>
              <w:fldChar w:fldCharType="end"/>
            </w:r>
          </w:hyperlink>
        </w:p>
        <w:p>
          <w:pPr>
            <w:pStyle w:val="TOC2"/>
            <w:tabs>
              <w:tab w:val="right" w:pos="9026" w:leader="dot"/>
            </w:tabs>
          </w:pPr>
          <w:hyperlink w:history="1" w:anchor="_Toc42">
            <w:r>
              <w:t xml:space="preserve">7.1 Were the objectives met?</w:t>
            </w:r>
            <w:r>
              <w:tab/>
            </w:r>
            <w:r>
              <w:fldChar w:fldCharType="begin" w:dirty="true"/>
              <w:instrText xml:space="preserve">PAGEREF _Toc42 \h</w:instrText>
              <w:fldChar w:fldCharType="separate"/>
              <w:fldChar w:fldCharType="end"/>
            </w:r>
          </w:hyperlink>
        </w:p>
        <w:p>
          <w:pPr>
            <w:pStyle w:val="TOC2"/>
            <w:tabs>
              <w:tab w:val="right" w:pos="9026" w:leader="dot"/>
            </w:tabs>
          </w:pPr>
          <w:hyperlink w:history="1" w:anchor="_Toc43">
            <w:r>
              <w:t xml:space="preserve">7.2 Why the solution works</w:t>
            </w:r>
            <w:r>
              <w:tab/>
            </w:r>
            <w:r>
              <w:fldChar w:fldCharType="begin" w:dirty="true"/>
              <w:instrText xml:space="preserve">PAGEREF _Toc43 \h</w:instrText>
              <w:fldChar w:fldCharType="separate"/>
              <w:fldChar w:fldCharType="end"/>
            </w:r>
          </w:hyperlink>
        </w:p>
        <w:p>
          <w:pPr>
            <w:pStyle w:val="TOC2"/>
            <w:tabs>
              <w:tab w:val="right" w:pos="9026" w:leader="dot"/>
            </w:tabs>
          </w:pPr>
          <w:hyperlink w:history="1" w:anchor="_Toc44">
            <w:r>
              <w:t xml:space="preserve">7.3 Position relative to other approaches</w:t>
            </w:r>
            <w:r>
              <w:tab/>
            </w:r>
            <w:r>
              <w:fldChar w:fldCharType="begin" w:dirty="true"/>
              <w:instrText xml:space="preserve">PAGEREF _Toc44 \h</w:instrText>
              <w:fldChar w:fldCharType="separate"/>
              <w:fldChar w:fldCharType="end"/>
            </w:r>
          </w:hyperlink>
        </w:p>
        <w:p>
          <w:pPr>
            <w:pStyle w:val="TOC2"/>
            <w:tabs>
              <w:tab w:val="right" w:pos="9026" w:leader="dot"/>
            </w:tabs>
          </w:pPr>
          <w:hyperlink w:history="1" w:anchor="_Toc45">
            <w:r>
              <w:t xml:space="preserve">7.4 Limitations</w:t>
            </w:r>
            <w:r>
              <w:tab/>
            </w:r>
            <w:r>
              <w:fldChar w:fldCharType="begin" w:dirty="true"/>
              <w:instrText xml:space="preserve">PAGEREF _Toc45 \h</w:instrText>
              <w:fldChar w:fldCharType="separate"/>
              <w:fldChar w:fldCharType="end"/>
            </w:r>
          </w:hyperlink>
        </w:p>
        <w:p>
          <w:pPr>
            <w:pStyle w:val="TOC1"/>
            <w:tabs>
              <w:tab w:val="right" w:pos="9026" w:leader="dot"/>
            </w:tabs>
          </w:pPr>
          <w:hyperlink w:history="1" w:anchor="_Toc46">
            <w:r>
              <w:t xml:space="preserve">8. Conclusion and future work</w:t>
            </w:r>
            <w:r>
              <w:tab/>
            </w:r>
            <w:r>
              <w:fldChar w:fldCharType="begin" w:dirty="true"/>
              <w:instrText xml:space="preserve">PAGEREF _Toc46 \h</w:instrText>
              <w:fldChar w:fldCharType="separate"/>
              <w:fldChar w:fldCharType="end"/>
            </w:r>
          </w:hyperlink>
        </w:p>
        <w:p>
          <w:pPr>
            <w:pStyle w:val="TOC2"/>
            <w:tabs>
              <w:tab w:val="right" w:pos="9026" w:leader="dot"/>
            </w:tabs>
          </w:pPr>
          <w:hyperlink w:history="1" w:anchor="_Toc47">
            <w:r>
              <w:t xml:space="preserve">8.1 Conclusion</w:t>
            </w:r>
            <w:r>
              <w:tab/>
            </w:r>
            <w:r>
              <w:fldChar w:fldCharType="begin" w:dirty="true"/>
              <w:instrText xml:space="preserve">PAGEREF _Toc47 \h</w:instrText>
              <w:fldChar w:fldCharType="separate"/>
              <w:fldChar w:fldCharType="end"/>
            </w:r>
          </w:hyperlink>
        </w:p>
        <w:p>
          <w:pPr>
            <w:pStyle w:val="TOC2"/>
            <w:tabs>
              <w:tab w:val="right" w:pos="9026" w:leader="dot"/>
            </w:tabs>
          </w:pPr>
          <w:hyperlink w:history="1" w:anchor="_Toc48">
            <w:r>
              <w:t xml:space="preserve">8.2 Future work</w:t>
            </w:r>
            <w:r>
              <w:tab/>
            </w:r>
            <w:r>
              <w:fldChar w:fldCharType="begin" w:dirty="true"/>
              <w:instrText xml:space="preserve">PAGEREF _Toc48 \h</w:instrText>
              <w:fldChar w:fldCharType="separate"/>
              <w:fldChar w:fldCharType="end"/>
            </w:r>
          </w:hyperlink>
        </w:p>
        <w:p>
          <w:pPr>
            <w:pStyle w:val="TOC1"/>
            <w:tabs>
              <w:tab w:val="right" w:pos="9026" w:leader="dot"/>
            </w:tabs>
          </w:pPr>
          <w:hyperlink w:history="1" w:anchor="_Toc49">
            <w:r>
              <w:t xml:space="preserve">References</w:t>
            </w:r>
            <w:r>
              <w:tab/>
            </w:r>
            <w:r>
              <w:fldChar w:fldCharType="begin" w:dirty="true"/>
              <w:instrText xml:space="preserve">PAGEREF _Toc49 \h</w:instrText>
              <w:fldChar w:fldCharType="separate"/>
              <w:fldChar w:fldCharType="end"/>
            </w:r>
          </w:hyperlink>
        </w:p>
        <w:p>
          <w:pPr>
            <w:pStyle w:val="TOC1"/>
            <w:tabs>
              <w:tab w:val="right" w:pos="9026" w:leader="dot"/>
            </w:tabs>
          </w:pPr>
          <w:hyperlink w:history="1" w:anchor="_Toc50">
            <w:r>
              <w:t xml:space="preserve">Appendix A. Data dictionary</w:t>
            </w:r>
            <w:r>
              <w:tab/>
            </w:r>
            <w:r>
              <w:fldChar w:fldCharType="begin" w:dirty="true"/>
              <w:instrText xml:space="preserve">PAGEREF _Toc50 \h</w:instrText>
              <w:fldChar w:fldCharType="separate"/>
              <w:fldChar w:fldCharType="end"/>
            </w:r>
          </w:hyperlink>
        </w:p>
        <w:p>
          <w:pPr>
            <w:pStyle w:val="TOC1"/>
            <w:tabs>
              <w:tab w:val="right" w:pos="9026" w:leader="dot"/>
            </w:tabs>
          </w:pPr>
          <w:hyperlink w:history="1" w:anchor="_Toc51">
            <w:r>
              <w:t xml:space="preserve">Appendix B. Solution pack</w:t>
            </w:r>
            <w:r>
              <w:tab/>
            </w:r>
            <w:r>
              <w:fldChar w:fldCharType="begin" w:dirty="true"/>
              <w:instrText xml:space="preserve">PAGEREF _Toc51 \h</w:instrText>
              <w:fldChar w:fldCharType="separate"/>
              <w:fldChar w:fldCharType="end"/>
            </w:r>
          </w:hyperlink>
        </w:p>
        <w:p>
          <w:pPr>
            <w:pStyle w:val="TOC1"/>
            <w:tabs>
              <w:tab w:val="right" w:pos="9026" w:leader="dot"/>
            </w:tabs>
          </w:pPr>
          <w:hyperlink w:history="1" w:anchor="_Toc52">
            <w:r>
              <w:t xml:space="preserve">Appendix C. Configuration and repeatability</w:t>
            </w:r>
            <w:r>
              <w:tab/>
            </w:r>
            <w:r>
              <w:fldChar w:fldCharType="begin" w:dirty="true"/>
              <w:instrText xml:space="preserve">PAGEREF _Toc52 \h</w:instrText>
              <w:fldChar w:fldCharType="separate"/>
              <w:fldChar w:fldCharType="end"/>
            </w:r>
          </w:hyperlink>
        </w:p>
        <w:p>
          <w:pPr>
            <w:pStyle w:val="TOC1"/>
            <w:tabs>
              <w:tab w:val="right" w:pos="9026" w:leader="dot"/>
            </w:tabs>
          </w:pPr>
          <w:hyperlink w:history="1" w:anchor="_Toc53">
            <w:r>
              <w:t xml:space="preserve">Appendix D. Compute and cost</w:t>
            </w:r>
            <w:r>
              <w:tab/>
            </w:r>
            <w:r>
              <w:fldChar w:fldCharType="begin" w:dirty="true"/>
              <w:instrText xml:space="preserve">PAGEREF _Toc53 \h</w:instrText>
              <w:fldChar w:fldCharType="separate"/>
              <w:fldChar w:fldCharType="end"/>
            </w:r>
          </w:hyperlink>
        </w:p>
        <w:p>
          <w:pPr>
            <w:pStyle w:val="TOC1"/>
            <w:tabs>
              <w:tab w:val="right" w:pos="9026" w:leader="dot"/>
            </w:tabs>
          </w:pPr>
          <w:hyperlink w:history="1" w:anchor="_Toc54">
            <w:r>
              <w:t xml:space="preserve">Appendix E. Code and data availability</w:t>
            </w:r>
            <w:r>
              <w:tab/>
            </w:r>
            <w:r>
              <w:fldChar w:fldCharType="begin" w:dirty="true"/>
              <w:instrText xml:space="preserve">PAGEREF _Toc54 \h</w:instrText>
              <w:fldChar w:fldCharType="separate"/>
              <w:fldChar w:fldCharType="end"/>
            </w:r>
          </w:hyperlink>
        </w:p>
        <w:p>
          <w:r>
            <w:fldChar w:fldCharType="end"/>
          </w:r>
        </w:p>
      </w:sdtContent>
    </w:sdt>
    <w:p>
      <w:pPr>
        <w:pStyle w:val="Heading1"/>
        <w:keepNext/>
        <w:pageBreakBefore/>
        <w:spacing w:after="120" w:before="360"/>
      </w:pPr>
      <w:bookmarkStart w:name="_Toc4" w:id="4"/>
      <w:r>
        <w:rPr>
          <w:rFonts w:ascii="Times New Roman" w:cs="Times New Roman" w:eastAsia="Times New Roman" w:hAnsi="Times New Roman"/>
          <w:b/>
          <w:bCs/>
          <w:color w:val="000000"/>
          <w:sz w:val="32"/>
          <w:szCs w:val="32"/>
        </w:rPr>
        <w:t xml:space="preserve">1. Introduction</w:t>
      </w:r>
      <w:bookmarkEnd w:id="4"/>
    </w:p>
    <w:p>
      <w:pPr>
        <w:pStyle w:val="Heading2"/>
        <w:keepNext/>
        <w:spacing w:after="120" w:before="240"/>
      </w:pPr>
      <w:bookmarkStart w:name="_Toc5" w:id="5"/>
      <w:r>
        <w:rPr>
          <w:rFonts w:ascii="Times New Roman" w:cs="Times New Roman" w:eastAsia="Times New Roman" w:hAnsi="Times New Roman"/>
          <w:b/>
          <w:bCs/>
          <w:color w:val="000000"/>
          <w:sz w:val="28"/>
          <w:szCs w:val="28"/>
        </w:rPr>
        <w:t xml:space="preserve">1.1 Motivation</w:t>
      </w:r>
      <w:bookmarkEnd w:id="5"/>
    </w:p>
    <w:p>
      <w:pPr>
        <w:spacing w:after="120" w:line="276"/>
      </w:pPr>
      <w:r>
        <w:rPr>
          <w:rFonts w:ascii="Arial" w:cs="Arial" w:eastAsia="Arial" w:hAnsi="Arial"/>
          <w:sz w:val="22"/>
          <w:szCs w:val="22"/>
        </w:rPr>
        <w:t xml:space="preserve">A world model is an AI model that predicts what will happen next. Given a camera image of a scene and a proposed action, it predicts the next state of the scene, and by chaining predictions it can imagine the consequences of a whole sequence of actions. A robot that owns such a model can plan: it imagines many candidate action sequences, scores each by how close its imagined outcome comes to a goal, and executes the best. This is how a growing family of robot-learning systems works, and the family built on the joint-embedding predictive architecture (JEPA) is among the most promising, because it learns to predict in a compact learned representation rather than in pixels (Assran et al., 2023; Zhou et al., 2025; Assran et al., 2025).</w:t>
      </w:r>
    </w:p>
    <w:p>
      <w:pPr>
        <w:spacing w:after="120" w:line="276"/>
      </w:pPr>
      <w:r>
        <w:rPr>
          <w:rFonts w:ascii="Arial" w:cs="Arial" w:eastAsia="Arial" w:hAnsi="Arial"/>
          <w:sz w:val="22"/>
          <w:szCs w:val="22"/>
        </w:rPr>
        <w:t xml:space="preserve">Planning by imagination is expensive. Every plan evaluates thousands of imagined futures, and for the large world models of the field a single plan has taken from 16 seconds to nearly a minute (Zhou et al., 2025; Assran et al., 2025). LeWorldModel (LeWM) was designed to fix that. It is a 15-million-parameter JEPA, small enough to train on one GPU in a few hours, that encodes each image into a single 192-number vector and plans up to 48 times faster than its predecessors, "in under one second" (Maes, Le Lidec, Scieur, et al., 2026).</w:t>
      </w:r>
    </w:p>
    <w:p>
      <w:pPr>
        <w:spacing w:after="120" w:line="276"/>
      </w:pPr>
      <w:r>
        <w:rPr>
          <w:rFonts w:ascii="Arial" w:cs="Arial" w:eastAsia="Arial" w:hAnsi="Arial"/>
          <w:sz w:val="22"/>
          <w:szCs w:val="22"/>
        </w:rPr>
        <w:t xml:space="preserve">Under one second is fast for a world model and slow for a robot. A controller that replans as it moves must finish each plan within its control period; a robot arm controlled ten times per second has 100 milliseconds for sensing, planning and acting together. Measured on one H100 GPU, LeWM's released planner takes 622 ms per plan. The model is so small that the arithmetic of a plan should take a few milliseconds, so the remaining time must be going somewhere else. Finding out where, and removing it, is the subject of this report.</w:t>
      </w:r>
    </w:p>
    <w:p>
      <w:pPr>
        <w:pStyle w:val="Heading2"/>
        <w:keepNext/>
        <w:spacing w:after="120" w:before="240"/>
      </w:pPr>
      <w:bookmarkStart w:name="_Toc6" w:id="6"/>
      <w:r>
        <w:rPr>
          <w:rFonts w:ascii="Times New Roman" w:cs="Times New Roman" w:eastAsia="Times New Roman" w:hAnsi="Times New Roman"/>
          <w:b/>
          <w:bCs/>
          <w:color w:val="000000"/>
          <w:sz w:val="28"/>
          <w:szCs w:val="28"/>
        </w:rPr>
        <w:t xml:space="preserve">1.2 Aim and objectives</w:t>
      </w:r>
      <w:bookmarkEnd w:id="6"/>
    </w:p>
    <w:p>
      <w:pPr>
        <w:spacing w:after="120" w:line="276"/>
      </w:pPr>
      <w:r>
        <w:rPr>
          <w:rFonts w:ascii="Arial" w:cs="Arial" w:eastAsia="Arial" w:hAnsi="Arial"/>
          <w:sz w:val="22"/>
          <w:szCs w:val="22"/>
        </w:rPr>
        <w:t xml:space="preserve">The aim is to reduce the latency of one LeWM plan for one robot on one GPU to the time scale of control, without retraining the model and without reducing task success. Four objectives make the aim measurable.</w:t>
      </w:r>
    </w:p>
    <w:p>
      <w:pPr>
        <w:pStyle w:val="ListParagraph"/>
        <w:numPr>
          <w:ilvl w:val="0"/>
          <w:numId w:val="2"/>
        </w:numPr>
        <w:spacing w:after="60" w:line="276"/>
      </w:pPr>
      <w:r>
        <w:rPr>
          <w:rFonts w:ascii="Arial" w:cs="Arial" w:eastAsia="Arial" w:hAnsi="Arial"/>
          <w:b/>
          <w:bCs/>
          <w:sz w:val="22"/>
          <w:szCs w:val="22"/>
        </w:rPr>
        <w:t xml:space="preserve">O1. Profile.</w:t>
      </w:r>
      <w:r>
        <w:rPr>
          <w:rFonts w:ascii="Arial" w:cs="Arial" w:eastAsia="Arial" w:hAnsi="Arial"/>
          <w:sz w:val="22"/>
          <w:szCs w:val="22"/>
        </w:rPr>
        <w:t xml:space="preserve"> Collect and analyse latency data to build a stage-by-stage compute profile of the reference planner and identify what limits its speed.</w:t>
      </w:r>
    </w:p>
    <w:p>
      <w:pPr>
        <w:pStyle w:val="ListParagraph"/>
        <w:numPr>
          <w:ilvl w:val="0"/>
          <w:numId w:val="2"/>
        </w:numPr>
        <w:spacing w:after="60" w:line="276"/>
      </w:pPr>
      <w:r>
        <w:rPr>
          <w:rFonts w:ascii="Arial" w:cs="Arial" w:eastAsia="Arial" w:hAnsi="Arial"/>
          <w:b/>
          <w:bCs/>
          <w:sz w:val="22"/>
          <w:szCs w:val="22"/>
        </w:rPr>
        <w:t xml:space="preserve">O2. Design and implement.</w:t>
      </w:r>
      <w:r>
        <w:rPr>
          <w:rFonts w:ascii="Arial" w:cs="Arial" w:eastAsia="Arial" w:hAnsi="Arial"/>
          <w:sz w:val="22"/>
          <w:szCs w:val="22"/>
        </w:rPr>
        <w:t xml:space="preserve"> Design an inference pipeline that removes the bottlenecks found in O1, keeping the trained model's weights and the planner's search budget (horizon, iterations, elite count) unchanged.</w:t>
      </w:r>
    </w:p>
    <w:p>
      <w:pPr>
        <w:pStyle w:val="ListParagraph"/>
        <w:numPr>
          <w:ilvl w:val="0"/>
          <w:numId w:val="2"/>
        </w:numPr>
        <w:spacing w:after="60" w:line="276"/>
      </w:pPr>
      <w:r>
        <w:rPr>
          <w:rFonts w:ascii="Arial" w:cs="Arial" w:eastAsia="Arial" w:hAnsi="Arial"/>
          <w:b/>
          <w:bCs/>
          <w:sz w:val="22"/>
          <w:szCs w:val="22"/>
        </w:rPr>
        <w:t xml:space="preserve">O3. Evaluate.</w:t>
      </w:r>
      <w:r>
        <w:rPr>
          <w:rFonts w:ascii="Arial" w:cs="Arial" w:eastAsia="Arial" w:hAnsi="Arial"/>
          <w:sz w:val="22"/>
          <w:szCs w:val="22"/>
        </w:rPr>
        <w:t xml:space="preserve"> Measure the new pipeline's end-to-end latency and closed-loop task success against the reference and against a strong optimised PyTorch implementation on the same hardware, with paired statistical tests.</w:t>
      </w:r>
    </w:p>
    <w:p>
      <w:pPr>
        <w:pStyle w:val="ListParagraph"/>
        <w:numPr>
          <w:ilvl w:val="0"/>
          <w:numId w:val="2"/>
        </w:numPr>
        <w:spacing w:after="60" w:line="276"/>
      </w:pPr>
      <w:r>
        <w:rPr>
          <w:rFonts w:ascii="Arial" w:cs="Arial" w:eastAsia="Arial" w:hAnsi="Arial"/>
          <w:b/>
          <w:bCs/>
          <w:sz w:val="22"/>
          <w:szCs w:val="22"/>
        </w:rPr>
        <w:t xml:space="preserve">O4. Deploy.</w:t>
      </w:r>
      <w:r>
        <w:rPr>
          <w:rFonts w:ascii="Arial" w:cs="Arial" w:eastAsia="Arial" w:hAnsi="Arial"/>
          <w:sz w:val="22"/>
          <w:szCs w:val="22"/>
        </w:rPr>
        <w:t xml:space="preserve"> Package the solution as a planner that plugs into the existing evaluation harness, and the analysis as a single program that regenerates every result from the collected data.</w:t>
      </w:r>
    </w:p>
    <w:p>
      <w:pPr>
        <w:pStyle w:val="Heading2"/>
        <w:keepNext/>
        <w:spacing w:after="120" w:before="240"/>
      </w:pPr>
      <w:bookmarkStart w:name="_Toc7" w:id="7"/>
      <w:r>
        <w:rPr>
          <w:rFonts w:ascii="Times New Roman" w:cs="Times New Roman" w:eastAsia="Times New Roman" w:hAnsi="Times New Roman"/>
          <w:b/>
          <w:bCs/>
          <w:color w:val="000000"/>
          <w:sz w:val="28"/>
          <w:szCs w:val="28"/>
        </w:rPr>
        <w:t xml:space="preserve">1.3 Relevance to data analytics and AI</w:t>
      </w:r>
      <w:bookmarkEnd w:id="7"/>
    </w:p>
    <w:p>
      <w:pPr>
        <w:spacing w:after="120" w:line="276"/>
      </w:pPr>
      <w:r>
        <w:rPr>
          <w:rFonts w:ascii="Arial" w:cs="Arial" w:eastAsia="Arial" w:hAnsi="Arial"/>
          <w:sz w:val="22"/>
          <w:szCs w:val="22"/>
        </w:rPr>
        <w:t xml:space="preserve">The project sits where AI systems meet data analytics. The object of study is an AI system: a self-supervised world model and the search algorithm that uses it to make decisions. The method is an analytics pipeline applied to that system's behaviour. Its data are measurements: 11,942 timed policy calls, 900 episode outcomes, planner telemetry and component micro-benchmarks. The pipeline follows the standard steps of an analytics project, from data collection, preparation and preprocessing, through pattern discovery and modelling, to evaluation and deployment (Section 3.1). The patterns it discovers drive the engineering. A fitted latency model distinguishes work that scales with the number of candidate plans from fixed overhead that does not, and that distinction decides which optimisations can pay. The evaluation is statistical, with bootstrap confidence intervals, paired tests and a power analysis, because a faster AI system is only useful if it is shown to behave the same. And the deployed artefact is an AI inference engine, the part of an AI system that runs in production.</w:t>
      </w:r>
    </w:p>
    <w:p>
      <w:pPr>
        <w:pStyle w:val="Heading2"/>
        <w:keepNext/>
        <w:spacing w:after="120" w:before="240"/>
      </w:pPr>
      <w:bookmarkStart w:name="_Toc8" w:id="8"/>
      <w:r>
        <w:rPr>
          <w:rFonts w:ascii="Times New Roman" w:cs="Times New Roman" w:eastAsia="Times New Roman" w:hAnsi="Times New Roman"/>
          <w:b/>
          <w:bCs/>
          <w:color w:val="000000"/>
          <w:sz w:val="28"/>
          <w:szCs w:val="28"/>
        </w:rPr>
        <w:t xml:space="preserve">1.4 Scope and structure</w:t>
      </w:r>
      <w:bookmarkEnd w:id="8"/>
    </w:p>
    <w:p>
      <w:pPr>
        <w:spacing w:after="120" w:line="276"/>
      </w:pPr>
      <w:r>
        <w:rPr>
          <w:rFonts w:ascii="Arial" w:cs="Arial" w:eastAsia="Arial" w:hAnsi="Arial"/>
          <w:sz w:val="22"/>
          <w:szCs w:val="22"/>
        </w:rPr>
        <w:t xml:space="preserve">The study covers one model (LeWM's released Push-T checkpoint), one task (Push-T, pushing a T-shaped block into a target pose), one GPU type (NVIDIA H100) and one robot per GPU, which is the deployment case. The model is used as released; no training is involved. Section 2 reviews the background. Section 3 describes the methodology. Section 4 reports the compute-profile analysis, Section 5 the solution designed from it, and Section 6 its evaluation. Section 7 discusses the results and their limitations, and Section 8 concludes with future work. The appendices give the data dictionary, the solution pack, the configuration and the compute cost.</w:t>
      </w:r>
    </w:p>
    <w:p>
      <w:pPr>
        <w:pStyle w:val="Heading1"/>
        <w:keepNext/>
        <w:pageBreakBefore/>
        <w:spacing w:after="120" w:before="360"/>
      </w:pPr>
      <w:bookmarkStart w:name="_Toc9" w:id="9"/>
      <w:r>
        <w:rPr>
          <w:rFonts w:ascii="Times New Roman" w:cs="Times New Roman" w:eastAsia="Times New Roman" w:hAnsi="Times New Roman"/>
          <w:b/>
          <w:bCs/>
          <w:color w:val="000000"/>
          <w:sz w:val="32"/>
          <w:szCs w:val="32"/>
        </w:rPr>
        <w:t xml:space="preserve">2. Background and literature review</w:t>
      </w:r>
      <w:bookmarkEnd w:id="9"/>
    </w:p>
    <w:p>
      <w:pPr>
        <w:pStyle w:val="Heading2"/>
        <w:keepNext/>
        <w:spacing w:after="120" w:before="240"/>
      </w:pPr>
      <w:bookmarkStart w:name="_Toc10" w:id="10"/>
      <w:r>
        <w:rPr>
          <w:rFonts w:ascii="Times New Roman" w:cs="Times New Roman" w:eastAsia="Times New Roman" w:hAnsi="Times New Roman"/>
          <w:b/>
          <w:bCs/>
          <w:color w:val="000000"/>
          <w:sz w:val="28"/>
          <w:szCs w:val="28"/>
        </w:rPr>
        <w:t xml:space="preserve">2.1 World models that plan in a learned representation</w:t>
      </w:r>
      <w:bookmarkEnd w:id="10"/>
    </w:p>
    <w:p>
      <w:pPr>
        <w:spacing w:after="120" w:line="276"/>
      </w:pPr>
      <w:r>
        <w:rPr>
          <w:rFonts w:ascii="Arial" w:cs="Arial" w:eastAsia="Arial" w:hAnsi="Arial"/>
          <w:sz w:val="22"/>
          <w:szCs w:val="22"/>
        </w:rPr>
        <w:t xml:space="preserve">The joint-embedding predictive architecture learns two networks: an encoder that maps an observation to a compact vector (an embedding) and a predictor that predicts the embedding of a future observation from the embedding of the present one. Because the prediction target is an embedding rather than a picture, the model can ignore details that do not matter for what happens next (Assran et al., 2023; Bardes et al., 2024). Conditioning the predictor on actions turns it into a dynamics model, and a goal image becomes a target in embedding space. DINO-WM showed that such a model, built on frozen DINOv2 features, can plan manipulation and navigation tasks zero-shot (Zhou et al., 2025; Oquab et al., 2024); PLDM made the case for planning with latent dynamics learned from reward-free data (Sobal et al., 2025); and V-JEPA 2-AC planned with real robot arms after pre-training on video (Assran et al., 2025). A systematic study found the cross-entropy method the best planner for these models on Push-T (Terver et al., 2026).</w:t>
      </w:r>
    </w:p>
    <w:p>
      <w:pPr>
        <w:spacing w:after="120" w:line="276"/>
      </w:pPr>
      <w:r>
        <w:rPr>
          <w:rFonts w:ascii="Arial" w:cs="Arial" w:eastAsia="Arial" w:hAnsi="Arial"/>
          <w:sz w:val="22"/>
          <w:szCs w:val="22"/>
        </w:rPr>
        <w:t xml:space="preserve">LeWM is the system studied here (Maes, Le Lidec, Scieur, et al., 2026). Its encoder is a small Vision Transformer (ViT-tiny; Dosovitskiy et al., 2021) and its predictor a 6-layer transformer conditioned on actions through adaptive layer normalisation (AdaLN; Peebles &amp; Xie, 2023). It is trained end to end from pixels with a regulariser, SIGReg, that keeps the embeddings well spread (Balestriero &amp; LeCun, 2025), and it is evaluated with the stable-worldmodel platform (Maes, Le Lidec, Facury, et al., 2026). Its successors make planning cheaper by changing the model: Fast LeWorldModel retrains the predictor to roll out a candidate in one pass instead of five, halving planning time (Gao &amp; Xu, 2026), and an inverse-dynamics policy trained on top of LeWM replaces search altogether (Nguyen et al., 2026). Planning time in this literature is reported coarsely, as seconds per plan, and is always reduced by changing the model or the algorithm, never by examining how the planner is executed.</w:t>
      </w:r>
    </w:p>
    <w:p>
      <w:pPr>
        <w:pStyle w:val="Heading2"/>
        <w:keepNext/>
        <w:spacing w:after="120" w:before="240"/>
      </w:pPr>
      <w:bookmarkStart w:name="_Toc11" w:id="11"/>
      <w:r>
        <w:rPr>
          <w:rFonts w:ascii="Times New Roman" w:cs="Times New Roman" w:eastAsia="Times New Roman" w:hAnsi="Times New Roman"/>
          <w:b/>
          <w:bCs/>
          <w:color w:val="000000"/>
          <w:sz w:val="28"/>
          <w:szCs w:val="28"/>
        </w:rPr>
        <w:t xml:space="preserve">2.2 Sampling-based planning: CEM and iCEM</w:t>
      </w:r>
      <w:bookmarkEnd w:id="11"/>
    </w:p>
    <w:p>
      <w:pPr>
        <w:spacing w:after="120" w:line="276"/>
      </w:pPr>
      <w:r>
        <w:rPr>
          <w:rFonts w:ascii="Arial" w:cs="Arial" w:eastAsia="Arial" w:hAnsi="Arial"/>
          <w:sz w:val="22"/>
          <w:szCs w:val="22"/>
        </w:rPr>
        <w:t xml:space="preserve">The cross-entropy method (CEM) searches by sampling (Rubinstein, 1999; de Boer et al., 2005). It draws many candidate action sequences from a Gaussian distribution, scores each, keeps the best (the elites), refits the Gaussian to the elites and repeats. With learned models it became the standard planner of model-based reinforcement learning (Chua et al., 2018; Hafner et al., 2019; Hansen et al., 2022). LeWM uses it with 300 candidates, 30 elites and 30 iterations per plan, so a plan evaluates 9,000 imagined futures.</w:t>
      </w:r>
    </w:p>
    <w:p>
      <w:pPr>
        <w:spacing w:after="120" w:line="276"/>
      </w:pPr>
      <w:r>
        <w:rPr>
          <w:rFonts w:ascii="Arial" w:cs="Arial" w:eastAsia="Arial" w:hAnsi="Arial"/>
          <w:sz w:val="22"/>
          <w:szCs w:val="22"/>
        </w:rPr>
        <w:t xml:space="preserve">The improved cross-entropy method, iCEM, makes CEM sample-efficient (Pinneri et al., 2021). Its most important features for this project are a population that shrinks over the iterations as the search narrows, and the reuse of the best candidates of one iteration in the next. On its benchmarks it needed 2.7 to 22 times fewer samples for the same result. A caution comes from related work: a CEM variant that cut samples a hundredfold by adding gradient steps was only 25% faster than the CEM it replaced, because cutting the number of samples does not cut time unless the cost of each iteration falls too (Huang et al., 2021). Whether iCEM saves time therefore depends on how the planner is executed, which is one of the questions this project answers with data.</w:t>
      </w:r>
    </w:p>
    <w:p>
      <w:pPr>
        <w:pStyle w:val="Heading2"/>
        <w:keepNext/>
        <w:spacing w:after="120" w:before="240"/>
      </w:pPr>
      <w:bookmarkStart w:name="_Toc12" w:id="12"/>
      <w:r>
        <w:rPr>
          <w:rFonts w:ascii="Times New Roman" w:cs="Times New Roman" w:eastAsia="Times New Roman" w:hAnsi="Times New Roman"/>
          <w:b/>
          <w:bCs/>
          <w:color w:val="000000"/>
          <w:sz w:val="28"/>
          <w:szCs w:val="28"/>
        </w:rPr>
        <w:t xml:space="preserve">2.3 Running small AI models fast on a GPU</w:t>
      </w:r>
      <w:bookmarkEnd w:id="12"/>
    </w:p>
    <w:p>
      <w:pPr>
        <w:spacing w:after="120" w:line="276"/>
      </w:pPr>
      <w:r>
        <w:rPr>
          <w:rFonts w:ascii="Arial" w:cs="Arial" w:eastAsia="Arial" w:hAnsi="Arial"/>
          <w:sz w:val="22"/>
          <w:szCs w:val="22"/>
        </w:rPr>
        <w:t xml:space="preserve">A GPU runs work as kernels: programs launched by the CPU, each doing one operation (a matrix multiplication, a normalisation) across thousands of parallel threads. Frameworks such as PyTorch launch one or more kernels per operation. For large models this is efficient, because each kernel has enough work to keep the GPU busy. For small models at batch size one it is not: each kernel finishes in a few microseconds, and the time between kernels (the launch itself, the Python code that issues it, and the wait for results) dominates. The roofline model describes performance limited by arithmetic or by memory bandwidth (S. Williams et al., 2009); analyses of small-batch transformer inference show that neither limit applies when latency and data movement dominate (Pope et al., 2023; Ivanov et al., 2021).</w:t>
      </w:r>
    </w:p>
    <w:p>
      <w:pPr>
        <w:spacing w:after="120" w:line="276"/>
      </w:pPr>
      <w:r>
        <w:rPr>
          <w:rFonts w:ascii="Arial" w:cs="Arial" w:eastAsia="Arial" w:hAnsi="Arial"/>
          <w:sz w:val="22"/>
          <w:szCs w:val="22"/>
        </w:rPr>
        <w:t xml:space="preserve">Three remedies exist, in increasing order of ambition. CUDA Graphs record a sequence of launches and replay it with less CPU overhead (Gray, 2019). Compilers such as PyTorch 2's </w:t>
      </w:r>
      <w:r>
        <w:rPr>
          <w:rFonts w:ascii="Consolas" w:cs="Consolas" w:eastAsia="Consolas" w:hAnsi="Consolas"/>
          <w:sz w:val="20"/>
          <w:szCs w:val="20"/>
        </w:rPr>
        <w:t xml:space="preserve">torch.compile</w:t>
      </w:r>
      <w:r>
        <w:rPr>
          <w:rFonts w:ascii="Arial" w:cs="Arial" w:eastAsia="Arial" w:hAnsi="Arial"/>
          <w:sz w:val="22"/>
          <w:szCs w:val="22"/>
        </w:rPr>
        <w:t xml:space="preserve"> fuse neighbouring operations into fewer, larger kernels (Ansel et al., 2024; Tillet et al., 2019); FlashAttention fuses a whole attention computation into one kernel that keeps its intermediate results on chip (Dao et al., 2022; Shah et al., 2024). The most ambitious remedy is the persistent kernel or megakernel: one long-running GPU program that performs a whole computation, so that there are no launches and no gaps at all (Gupta et al., 2012; Diamos et al., 2016). Megakernels returned in 2025 for language-model inference, where one kernel running a whole Llama forward pass cut latency below a millisecond on an H100 (Spector, Juravsky, Sul, Dugan, et al., 2025; Nrusimha et al., 2025), and compilers that build megakernels automatically followed (Cheng et al., 2026). ThunderKittens, the library used here, exposes the H100's tensor-core instructions and asynchronous memory copies through simple tile abstractions (Spector, Arora, et al., 2025). The H100's thread-block clusters and distributed shared memory, which let neighbouring processors exchange data without going through main memory, are what make a kernel that spreads one small model across many processors practical (Andersch et al., 2022; Luo et al., 2024).</w:t>
      </w:r>
    </w:p>
    <w:p>
      <w:pPr>
        <w:pStyle w:val="Heading2"/>
        <w:keepNext/>
        <w:spacing w:after="120" w:before="240"/>
      </w:pPr>
      <w:bookmarkStart w:name="_Toc13" w:id="13"/>
      <w:r>
        <w:rPr>
          <w:rFonts w:ascii="Times New Roman" w:cs="Times New Roman" w:eastAsia="Times New Roman" w:hAnsi="Times New Roman"/>
          <w:b/>
          <w:bCs/>
          <w:color w:val="000000"/>
          <w:sz w:val="28"/>
          <w:szCs w:val="28"/>
        </w:rPr>
        <w:t xml:space="preserve">2.4 The gap</w:t>
      </w:r>
      <w:bookmarkEnd w:id="13"/>
    </w:p>
    <w:p>
      <w:pPr>
        <w:spacing w:after="120" w:line="276"/>
      </w:pPr>
      <w:r>
        <w:rPr>
          <w:rFonts w:ascii="Arial" w:cs="Arial" w:eastAsia="Arial" w:hAnsi="Arial"/>
          <w:sz w:val="22"/>
          <w:szCs w:val="22"/>
        </w:rPr>
        <w:t xml:space="preserve">In robotics, fast sampling-based planning on GPUs is well established with hand-written physics models: MPPI controllers and motion planners reach millisecond rates through custom kernels (G. Williams, Aldrich, &amp; Theodorou, 2017; Bhardwaj et al., 2022; Sundaralingam et al., 2023; Vlahov et al., 2024). For learned world models the field has improved planning speed only by changing the model or the planner. No work has profiled where a world-model planner's time goes when it is executed, measured whether sample-efficient planning saves time in practice, or fused a whole planning loop, with a neural encoder, a transformer rollout, scoring, elite selection and distribution updates over every iteration, into one GPU program. This project does all three, for LeWM.</w:t>
      </w:r>
    </w:p>
    <w:p>
      <w:pPr>
        <w:pStyle w:val="Heading1"/>
        <w:keepNext/>
        <w:pageBreakBefore/>
        <w:spacing w:after="120" w:before="360"/>
      </w:pPr>
      <w:bookmarkStart w:name="_Toc14" w:id="14"/>
      <w:r>
        <w:rPr>
          <w:rFonts w:ascii="Times New Roman" w:cs="Times New Roman" w:eastAsia="Times New Roman" w:hAnsi="Times New Roman"/>
          <w:b/>
          <w:bCs/>
          <w:color w:val="000000"/>
          <w:sz w:val="32"/>
          <w:szCs w:val="32"/>
        </w:rPr>
        <w:t xml:space="preserve">3. Methodology</w:t>
      </w:r>
      <w:bookmarkEnd w:id="14"/>
    </w:p>
    <w:p>
      <w:pPr>
        <w:pStyle w:val="Heading2"/>
        <w:keepNext/>
        <w:spacing w:after="120" w:before="240"/>
      </w:pPr>
      <w:bookmarkStart w:name="_Toc15" w:id="15"/>
      <w:r>
        <w:rPr>
          <w:rFonts w:ascii="Times New Roman" w:cs="Times New Roman" w:eastAsia="Times New Roman" w:hAnsi="Times New Roman"/>
          <w:b/>
          <w:bCs/>
          <w:color w:val="000000"/>
          <w:sz w:val="28"/>
          <w:szCs w:val="28"/>
        </w:rPr>
        <w:t xml:space="preserve">3.1 Research design</w:t>
      </w:r>
      <w:bookmarkEnd w:id="15"/>
    </w:p>
    <w:p>
      <w:pPr>
        <w:spacing w:after="120" w:line="276"/>
      </w:pPr>
      <w:r>
        <w:rPr>
          <w:rFonts w:ascii="Arial" w:cs="Arial" w:eastAsia="Arial" w:hAnsi="Arial"/>
          <w:sz w:val="22"/>
          <w:szCs w:val="22"/>
        </w:rPr>
        <w:t xml:space="preserve">The research is quantitative and follows an analytics pipeline (Figure 1). Data about the planner's behaviour are collected with timing instruments, prepared into tidy tables, and analysed to discover where the time goes and why. The patterns found determine the design of the solution, and the solution is evaluated with the same instruments and statistics, then packaged for deployment. Any design change that does not improve the measured profile without changing behaviour is discarded.</w:t>
      </w:r>
    </w:p>
    <w:p>
      <w:pPr>
        <w:keepNext/>
        <w:spacing w:after="60" w:before="120"/>
        <w:jc w:val="center"/>
      </w:pPr>
      <w:r>
        <w:drawing>
          <wp:inline distT="0" distB="0" distL="0" distR="0">
            <wp:extent cx="5762625" cy="1971675"/>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197167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1. </w:t>
      </w:r>
      <w:r>
        <w:rPr>
          <w:rFonts w:ascii="Arial" w:cs="Arial" w:eastAsia="Arial" w:hAnsi="Arial"/>
          <w:sz w:val="20"/>
          <w:szCs w:val="20"/>
        </w:rPr>
        <w:t xml:space="preserve">The analytics pipeline of the project. Steps 1 to 3 produce the compute profile (Section 4); step 4 is the solution (Section 5); step 5 its evaluation (Section 6); step 6 the deliverables (Appendix B). The orange arrow is the loop by which every design change was re-profiled before it was kept.</w:t>
      </w:r>
    </w:p>
    <w:p>
      <w:pPr>
        <w:spacing w:after="120" w:line="276"/>
      </w:pPr>
      <w:r>
        <w:rPr>
          <w:rFonts w:ascii="Arial" w:cs="Arial" w:eastAsia="Arial" w:hAnsi="Arial"/>
          <w:sz w:val="22"/>
          <w:szCs w:val="22"/>
        </w:rPr>
        <w:t xml:space="preserve">Three design principles were fixed at the outset, and each answers a specific threat to validity.</w:t>
      </w:r>
    </w:p>
    <w:p>
      <w:pPr>
        <w:pStyle w:val="ListParagraph"/>
        <w:numPr>
          <w:ilvl w:val="0"/>
          <w:numId w:val="2"/>
        </w:numPr>
        <w:spacing w:after="60" w:line="276"/>
      </w:pPr>
      <w:r>
        <w:rPr>
          <w:rFonts w:ascii="Arial" w:cs="Arial" w:eastAsia="Arial" w:hAnsi="Arial"/>
          <w:b/>
          <w:bCs/>
          <w:sz w:val="22"/>
          <w:szCs w:val="22"/>
        </w:rPr>
        <w:t xml:space="preserve">Measure what a deployment would feel.</w:t>
      </w:r>
      <w:r>
        <w:rPr>
          <w:rFonts w:ascii="Arial" w:cs="Arial" w:eastAsia="Arial" w:hAnsi="Arial"/>
          <w:sz w:val="22"/>
          <w:szCs w:val="22"/>
        </w:rPr>
        <w:t xml:space="preserve"> The primary metric is the end-to-end latency of one planning call for one robot, from camera image in to action out, including image preprocessing, encoding, the search and the copy back to the CPU. A kernel timed in isolation can hide costs that the robot still pays, so isolated timings are used only to explain the end-to-end number.</w:t>
      </w:r>
    </w:p>
    <w:p>
      <w:pPr>
        <w:pStyle w:val="ListParagraph"/>
        <w:numPr>
          <w:ilvl w:val="0"/>
          <w:numId w:val="2"/>
        </w:numPr>
        <w:spacing w:after="60" w:line="276"/>
      </w:pPr>
      <w:r>
        <w:rPr>
          <w:rFonts w:ascii="Arial" w:cs="Arial" w:eastAsia="Arial" w:hAnsi="Arial"/>
          <w:b/>
          <w:bCs/>
          <w:sz w:val="22"/>
          <w:szCs w:val="22"/>
        </w:rPr>
        <w:t xml:space="preserve">Equal hardware, strong baseline.</w:t>
      </w:r>
      <w:r>
        <w:rPr>
          <w:rFonts w:ascii="Arial" w:cs="Arial" w:eastAsia="Arial" w:hAnsi="Arial"/>
          <w:sz w:val="22"/>
          <w:szCs w:val="22"/>
        </w:rPr>
        <w:t xml:space="preserve"> Every configuration runs on the same GPU model in the same software container. The new pipeline is compared with the released reference planner and with the best PyTorch implementation available, which already uses the standard remedies of Section 2.3 (compilation, CUDA Graph replay, TF32 and BF16 arithmetic). Beating only an unoptimised reference would not show that the design matters.</w:t>
      </w:r>
    </w:p>
    <w:p>
      <w:pPr>
        <w:pStyle w:val="ListParagraph"/>
        <w:numPr>
          <w:ilvl w:val="0"/>
          <w:numId w:val="2"/>
        </w:numPr>
        <w:spacing w:after="60" w:line="276"/>
      </w:pPr>
      <w:r>
        <w:rPr>
          <w:rFonts w:ascii="Arial" w:cs="Arial" w:eastAsia="Arial" w:hAnsi="Arial"/>
          <w:b/>
          <w:bCs/>
          <w:sz w:val="22"/>
          <w:szCs w:val="22"/>
        </w:rPr>
        <w:t xml:space="preserve">Behaviour is measured in the loop, on paired episodes.</w:t>
      </w:r>
      <w:r>
        <w:rPr>
          <w:rFonts w:ascii="Arial" w:cs="Arial" w:eastAsia="Arial" w:hAnsi="Arial"/>
          <w:sz w:val="22"/>
          <w:szCs w:val="22"/>
        </w:rPr>
        <w:t xml:space="preserve"> A faster planner that makes the robot fail more often is worse, and small numerical changes can alter which candidate wins a close race. Every configuration is evaluated on the same 300 Push-T episodes, whose start states are fixed by the random seed, so differences are measured episode by episode.</w:t>
      </w:r>
    </w:p>
    <w:p>
      <w:pPr>
        <w:pStyle w:val="Heading2"/>
        <w:keepNext/>
        <w:spacing w:after="120" w:before="240"/>
      </w:pPr>
      <w:bookmarkStart w:name="_Toc16" w:id="16"/>
      <w:r>
        <w:rPr>
          <w:rFonts w:ascii="Times New Roman" w:cs="Times New Roman" w:eastAsia="Times New Roman" w:hAnsi="Times New Roman"/>
          <w:b/>
          <w:bCs/>
          <w:color w:val="000000"/>
          <w:sz w:val="28"/>
          <w:szCs w:val="28"/>
        </w:rPr>
        <w:t xml:space="preserve">3.2 System under study</w:t>
      </w:r>
      <w:bookmarkEnd w:id="16"/>
    </w:p>
    <w:p>
      <w:pPr>
        <w:spacing w:after="120" w:line="276"/>
      </w:pPr>
      <w:r>
        <w:rPr>
          <w:rFonts w:ascii="Arial" w:cs="Arial" w:eastAsia="Arial" w:hAnsi="Arial"/>
          <w:sz w:val="22"/>
          <w:szCs w:val="22"/>
        </w:rPr>
        <w:t xml:space="preserve">Table 1 lists the facts of the model and planner that the analysis depends on, taken from the released code and checkpoint. Figure 2 shows how one plan is computed.</w:t>
      </w:r>
    </w:p>
    <w:p>
      <w:pPr>
        <w:keepNext/>
        <w:spacing w:after="80" w:before="160" w:line="240"/>
      </w:pPr>
      <w:r>
        <w:rPr>
          <w:rFonts w:ascii="Arial" w:cs="Arial" w:eastAsia="Arial" w:hAnsi="Arial"/>
          <w:b/>
          <w:bCs/>
          <w:sz w:val="20"/>
          <w:szCs w:val="20"/>
        </w:rPr>
        <w:t xml:space="preserve">Table 1. </w:t>
      </w:r>
      <w:r>
        <w:rPr>
          <w:rFonts w:ascii="Arial" w:cs="Arial" w:eastAsia="Arial" w:hAnsi="Arial"/>
          <w:sz w:val="20"/>
          <w:szCs w:val="20"/>
        </w:rPr>
        <w:t xml:space="preserve">The reference system: LeWM's released Push-T checkpoint and planner.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56"/>
        <w:gridCol w:w="7169"/>
      </w:tblGrid>
      <w:tr>
        <w:trPr>
          <w:tblHeader/>
        </w:trPr>
        <w:tc>
          <w:tcPr>
            <w:tcW w:type="dxa" w:w="185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716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value</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encoder</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ViT-tiny: 12 layers, width 192, 3 attention heads, 14 × 14 patches of a 224 × 224 image (257 tokens), projected to a 192-number embedding</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predictor</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6-layer transformer, width 192, 16 heads, MLP width 2,048, conditioned on actions by AdaLN; looks back over up to 3 past steps</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action</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 block of 5 two-dimensional pushes (10 numbers) per planning step; plans cover 5 steps</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planner</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CEM: 300 candidates, top 30 elites, 30 iterations (9,000 imagined rollouts per plan)</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cost</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squared distance between the predicted final embedding and the goal image's embedding</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control loop</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 plan is computed at policy calls 1 and 26 of a 50-call episode; the calls in between execute the planned actions</w:t>
            </w:r>
          </w:p>
        </w:tc>
      </w:tr>
      <w:tr>
        <w:trPr>
          <w:tblHeader w:val="off"/>
        </w:trPr>
        <w:tc>
          <w:tcPr>
            <w:tcW w:type="dxa" w:w="185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arithmetic</w:t>
            </w:r>
          </w:p>
        </w:tc>
        <w:tc>
          <w:tcPr>
            <w:tcW w:type="dxa" w:w="716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32-bit floating point (FP32), PyTorch operations launched one at a time ("eager" mode)</w:t>
            </w:r>
          </w:p>
        </w:tc>
      </w:tr>
    </w:tbl>
    <w:p>
      <w:pPr>
        <w:spacing w:after="120"/>
      </w:pPr>
    </w:p>
    <w:p>
      <w:pPr>
        <w:keepNext/>
        <w:spacing w:after="60" w:before="120"/>
        <w:jc w:val="center"/>
      </w:pPr>
      <w:r>
        <w:drawing>
          <wp:inline distT="0" distB="0" distL="0" distR="0">
            <wp:extent cx="5762625" cy="2933700"/>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2625" cy="29337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2. </w:t>
      </w:r>
      <w:r>
        <w:rPr>
          <w:rFonts w:ascii="Arial" w:cs="Arial" w:eastAsia="Arial" w:hAnsi="Arial"/>
          <w:sz w:val="20"/>
          <w:szCs w:val="20"/>
        </w:rPr>
        <w:t xml:space="preserve">How LeWM plans. Both images are encoded to embeddings; the planner samples candidate action sequences, rolls each through the predictor for five steps, scores the final embedding against the goal, refits its sampling distribution to the best candidates and repeats 30 times.</w:t>
      </w:r>
    </w:p>
    <w:p>
      <w:pPr>
        <w:spacing w:after="120" w:line="276"/>
      </w:pPr>
      <w:r>
        <w:rPr>
          <w:rFonts w:ascii="Arial" w:cs="Arial" w:eastAsia="Arial" w:hAnsi="Arial"/>
          <w:sz w:val="22"/>
          <w:szCs w:val="22"/>
        </w:rPr>
        <w:t xml:space="preserve">Two properties of this system shape the problem. The model is small, about 15 million parameters, so scoring 300 candidates is under 100 billion floating-point operations, less than a tenth of a millisecond of the H100's tensor-core capacity, and all its weights fit in the GPU's 50 MB on-chip cache. And the computation is deep: one plan is 30 sequential iterations of a 5-step rollout through 6 layers, a chain of 900 transformer-layer evaluations, each of which depends on the one before.</w:t>
      </w:r>
    </w:p>
    <w:p>
      <w:pPr>
        <w:pStyle w:val="Heading2"/>
        <w:keepNext/>
        <w:spacing w:after="120" w:before="240"/>
      </w:pPr>
      <w:bookmarkStart w:name="_Toc17" w:id="17"/>
      <w:r>
        <w:rPr>
          <w:rFonts w:ascii="Times New Roman" w:cs="Times New Roman" w:eastAsia="Times New Roman" w:hAnsi="Times New Roman"/>
          <w:b/>
          <w:bCs/>
          <w:color w:val="000000"/>
          <w:sz w:val="28"/>
          <w:szCs w:val="28"/>
        </w:rPr>
        <w:t xml:space="preserve">3.3 Data collection</w:t>
      </w:r>
      <w:bookmarkEnd w:id="17"/>
    </w:p>
    <w:p>
      <w:pPr>
        <w:spacing w:after="120" w:line="276"/>
      </w:pPr>
      <w:r>
        <w:rPr>
          <w:rFonts w:ascii="Arial" w:cs="Arial" w:eastAsia="Arial" w:hAnsi="Arial"/>
          <w:sz w:val="22"/>
          <w:szCs w:val="22"/>
        </w:rPr>
        <w:t xml:space="preserve">Four instruments produced the data (Table 2). All ran on NVIDIA H100 80GB HBM3 GPUs rented from Modal, with PyTorch 2.11.0 and CUDA 12.8 in one container image.</w:t>
      </w:r>
    </w:p>
    <w:p>
      <w:pPr>
        <w:keepNext/>
        <w:spacing w:after="80" w:before="160" w:line="240"/>
      </w:pPr>
      <w:r>
        <w:rPr>
          <w:rFonts w:ascii="Arial" w:cs="Arial" w:eastAsia="Arial" w:hAnsi="Arial"/>
          <w:b/>
          <w:bCs/>
          <w:sz w:val="20"/>
          <w:szCs w:val="20"/>
        </w:rPr>
        <w:t xml:space="preserve">Table 2. </w:t>
      </w:r>
      <w:r>
        <w:rPr>
          <w:rFonts w:ascii="Arial" w:cs="Arial" w:eastAsia="Arial" w:hAnsi="Arial"/>
          <w:sz w:val="20"/>
          <w:szCs w:val="20"/>
        </w:rPr>
        <w:t xml:space="preserve">Datasets collected. All are in the solution pack's data folder; Appendix A gives the columns.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78"/>
        <w:gridCol w:w="949"/>
        <w:gridCol w:w="2938"/>
        <w:gridCol w:w="2959"/>
      </w:tblGrid>
      <w:tr>
        <w:trPr>
          <w:tblHeader/>
        </w:trPr>
        <w:tc>
          <w:tcPr>
            <w:tcW w:type="dxa" w:w="217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dataset</w:t>
            </w:r>
          </w:p>
        </w:tc>
        <w:tc>
          <w:tcPr>
            <w:tcW w:type="dxa" w:w="94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rows</w:t>
            </w:r>
          </w:p>
        </w:tc>
        <w:tc>
          <w:tcPr>
            <w:tcW w:type="dxa" w:w="293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instrument</w:t>
            </w:r>
          </w:p>
        </w:tc>
        <w:tc>
          <w:tcPr>
            <w:tcW w:type="dxa" w:w="295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content</w:t>
            </w:r>
          </w:p>
        </w:tc>
      </w:tr>
      <w:tr>
        <w:trPr>
          <w:tblHeader w:val="off"/>
        </w:trPr>
        <w:tc>
          <w:tcPr>
            <w:tcW w:type="dxa" w:w="217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calls.csv</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11,942</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CUDA event timers around every policy call, inside the benchmark harness</w:t>
            </w:r>
          </w:p>
        </w:tc>
        <w:tc>
          <w:tcPr>
            <w:tcW w:type="dxa" w:w="295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latency of every call of 61 one-robot episodes for each of three systems and four probe configurations</w:t>
            </w:r>
          </w:p>
        </w:tc>
      </w:tr>
      <w:tr>
        <w:trPr>
          <w:tblHeader w:val="off"/>
        </w:trPr>
        <w:tc>
          <w:tcPr>
            <w:tcW w:type="dxa" w:w="217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episodes.csv</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900</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Push-T evaluation, 3 seeds × 100 episodes per system</w:t>
            </w:r>
          </w:p>
        </w:tc>
        <w:tc>
          <w:tcPr>
            <w:tcW w:type="dxa" w:w="295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success (0 or 1) of every episode</w:t>
            </w:r>
          </w:p>
        </w:tc>
      </w:tr>
      <w:tr>
        <w:trPr>
          <w:tblHeader w:val="off"/>
        </w:trPr>
        <w:tc>
          <w:tcPr>
            <w:tcW w:type="dxa" w:w="217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cost_scaling.csv</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15</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micro-benchmark of one scoring call at 60 to 300 candidates</w:t>
            </w:r>
          </w:p>
        </w:tc>
        <w:tc>
          <w:tcPr>
            <w:tcW w:type="dxa" w:w="295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median latency per execution method</w:t>
            </w:r>
          </w:p>
        </w:tc>
      </w:tr>
      <w:tr>
        <w:trPr>
          <w:tblHeader w:val="off"/>
        </w:trPr>
        <w:tc>
          <w:tcPr>
            <w:tcW w:type="dxa" w:w="217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components.csv</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11</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component micro-benchmarks and planner telemetry</w:t>
            </w:r>
          </w:p>
        </w:tc>
        <w:tc>
          <w:tcPr>
            <w:tcW w:type="dxa" w:w="295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encoder and search timings, synchronisation costs, encoder calls per plan</w:t>
            </w:r>
          </w:p>
        </w:tc>
      </w:tr>
      <w:tr>
        <w:trPr>
          <w:tblHeader w:val="off"/>
        </w:trPr>
        <w:tc>
          <w:tcPr>
            <w:tcW w:type="dxa" w:w="217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parity.csv</w:t>
            </w:r>
          </w:p>
        </w:tc>
        <w:tc>
          <w:tcPr>
            <w:tcW w:type="dxa" w:w="94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15</w:t>
            </w:r>
          </w:p>
        </w:tc>
        <w:tc>
          <w:tcPr>
            <w:tcW w:type="dxa" w:w="293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comparison with FP32 on identical inputs</w:t>
            </w:r>
          </w:p>
        </w:tc>
        <w:tc>
          <w:tcPr>
            <w:tcW w:type="dxa" w:w="295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maximum relative cost error and agreement of the top-30 candidates</w:t>
            </w:r>
          </w:p>
        </w:tc>
      </w:tr>
    </w:tbl>
    <w:p>
      <w:pPr>
        <w:spacing w:after="120"/>
      </w:pPr>
    </w:p>
    <w:p>
      <w:pPr>
        <w:spacing w:after="120" w:line="276"/>
      </w:pPr>
      <w:r>
        <w:rPr>
          <w:rFonts w:ascii="Arial" w:cs="Arial" w:eastAsia="Arial" w:hAnsi="Arial"/>
          <w:sz w:val="22"/>
          <w:szCs w:val="22"/>
        </w:rPr>
        <w:t xml:space="preserve">The latency episodes use seeds 1000 to 1060, one robot per process, so nothing is shared between robots. The seven configurations in calls.csv are the three </w:t>
      </w:r>
      <w:r>
        <w:rPr>
          <w:rFonts w:ascii="Arial" w:cs="Arial" w:eastAsia="Arial" w:hAnsi="Arial"/>
          <w:b/>
          <w:bCs/>
          <w:sz w:val="22"/>
          <w:szCs w:val="22"/>
        </w:rPr>
        <w:t xml:space="preserve">systems</w:t>
      </w:r>
      <w:r>
        <w:rPr>
          <w:rFonts w:ascii="Arial" w:cs="Arial" w:eastAsia="Arial" w:hAnsi="Arial"/>
          <w:sz w:val="22"/>
          <w:szCs w:val="22"/>
        </w:rPr>
        <w:t xml:space="preserve"> compared in the evaluation (the reference planner, the optimised PyTorch planner and the new pipeline) and four </w:t>
      </w:r>
      <w:r>
        <w:rPr>
          <w:rFonts w:ascii="Arial" w:cs="Arial" w:eastAsia="Arial" w:hAnsi="Arial"/>
          <w:b/>
          <w:bCs/>
          <w:sz w:val="22"/>
          <w:szCs w:val="22"/>
        </w:rPr>
        <w:t xml:space="preserve">probes</w:t>
      </w:r>
      <w:r>
        <w:rPr>
          <w:rFonts w:ascii="Arial" w:cs="Arial" w:eastAsia="Arial" w:hAnsi="Arial"/>
          <w:sz w:val="22"/>
          <w:szCs w:val="22"/>
        </w:rPr>
        <w:t xml:space="preserve">: configurations that differ from a system in exactly one respect, run only to isolate an effect for the profile. Two probes encode the images once per plan, with CEM and with iCEM. The other two run the new kernel with CEM and with iCEM, using the PyTorch encoder.</w:t>
      </w:r>
    </w:p>
    <w:p>
      <w:pPr>
        <w:pStyle w:val="Heading2"/>
        <w:keepNext/>
        <w:spacing w:after="120" w:before="240"/>
      </w:pPr>
      <w:bookmarkStart w:name="_Toc18" w:id="18"/>
      <w:r>
        <w:rPr>
          <w:rFonts w:ascii="Times New Roman" w:cs="Times New Roman" w:eastAsia="Times New Roman" w:hAnsi="Times New Roman"/>
          <w:b/>
          <w:bCs/>
          <w:color w:val="000000"/>
          <w:sz w:val="28"/>
          <w:szCs w:val="28"/>
        </w:rPr>
        <w:t xml:space="preserve">3.4 Data preparation and preprocessing</w:t>
      </w:r>
      <w:bookmarkEnd w:id="18"/>
    </w:p>
    <w:p>
      <w:pPr>
        <w:spacing w:after="120" w:line="276"/>
      </w:pPr>
      <w:r>
        <w:rPr>
          <w:rFonts w:ascii="Arial" w:cs="Arial" w:eastAsia="Arial" w:hAnsi="Arial"/>
          <w:sz w:val="22"/>
          <w:szCs w:val="22"/>
        </w:rPr>
        <w:t xml:space="preserve">The raw records are line-delimited JSON files written by the harness, one per run. The program's </w:t>
      </w:r>
      <w:r>
        <w:rPr>
          <w:rFonts w:ascii="Consolas" w:cs="Consolas" w:eastAsia="Consolas" w:hAnsi="Consolas"/>
          <w:sz w:val="20"/>
          <w:szCs w:val="20"/>
        </w:rPr>
        <w:t xml:space="preserve">prepare</w:t>
      </w:r>
      <w:r>
        <w:rPr>
          <w:rFonts w:ascii="Arial" w:cs="Arial" w:eastAsia="Arial" w:hAnsi="Arial"/>
          <w:sz w:val="22"/>
          <w:szCs w:val="22"/>
        </w:rPr>
        <w:t xml:space="preserve"> step extracts them into the five tidy CSV tables, one row per observation. The </w:t>
      </w:r>
      <w:r>
        <w:rPr>
          <w:rFonts w:ascii="Consolas" w:cs="Consolas" w:eastAsia="Consolas" w:hAnsi="Consolas"/>
          <w:sz w:val="20"/>
          <w:szCs w:val="20"/>
        </w:rPr>
        <w:t xml:space="preserve">analyse</w:t>
      </w:r>
      <w:r>
        <w:rPr>
          <w:rFonts w:ascii="Arial" w:cs="Arial" w:eastAsia="Arial" w:hAnsi="Arial"/>
          <w:sz w:val="22"/>
          <w:szCs w:val="22"/>
        </w:rPr>
        <w:t xml:space="preserve"> step then applies three preprocessing rules before any statistic is computed.</w:t>
      </w:r>
    </w:p>
    <w:p>
      <w:pPr>
        <w:pStyle w:val="ListParagraph"/>
        <w:numPr>
          <w:ilvl w:val="0"/>
          <w:numId w:val="2"/>
        </w:numPr>
        <w:spacing w:after="60" w:line="276"/>
      </w:pPr>
      <w:r>
        <w:rPr>
          <w:rFonts w:ascii="Arial" w:cs="Arial" w:eastAsia="Arial" w:hAnsi="Arial"/>
          <w:b/>
          <w:bCs/>
          <w:sz w:val="22"/>
          <w:szCs w:val="22"/>
        </w:rPr>
        <w:t xml:space="preserve">Warm-up removal.</w:t>
      </w:r>
      <w:r>
        <w:rPr>
          <w:rFonts w:ascii="Arial" w:cs="Arial" w:eastAsia="Arial" w:hAnsi="Arial"/>
          <w:sz w:val="22"/>
          <w:szCs w:val="22"/>
        </w:rPr>
        <w:t xml:space="preserve"> The first seed of every configuration is discarded, because the first calls of a fresh process include one-off costs (memory allocation, kernel loading, and for the compiled baseline the compilation itself). This leaves 72 to 76 planning calls per configuration.</w:t>
      </w:r>
    </w:p>
    <w:p>
      <w:pPr>
        <w:pStyle w:val="ListParagraph"/>
        <w:numPr>
          <w:ilvl w:val="0"/>
          <w:numId w:val="2"/>
        </w:numPr>
        <w:spacing w:after="60" w:line="276"/>
      </w:pPr>
      <w:r>
        <w:rPr>
          <w:rFonts w:ascii="Arial" w:cs="Arial" w:eastAsia="Arial" w:hAnsi="Arial"/>
          <w:b/>
          <w:bCs/>
          <w:sz w:val="22"/>
          <w:szCs w:val="22"/>
        </w:rPr>
        <w:t xml:space="preserve">Call classification.</w:t>
      </w:r>
      <w:r>
        <w:rPr>
          <w:rFonts w:ascii="Arial" w:cs="Arial" w:eastAsia="Arial" w:hAnsi="Arial"/>
          <w:sz w:val="22"/>
          <w:szCs w:val="22"/>
        </w:rPr>
        <w:t xml:space="preserve"> Policy calls 1 and 26 of each episode are planning calls; all others only pop an already-planned action and are kept as a separate step-call distribution, which measures the fixed cost of a policy call.</w:t>
      </w:r>
    </w:p>
    <w:p>
      <w:pPr>
        <w:pStyle w:val="ListParagraph"/>
        <w:numPr>
          <w:ilvl w:val="0"/>
          <w:numId w:val="2"/>
        </w:numPr>
        <w:spacing w:after="60" w:line="276"/>
      </w:pPr>
      <w:r>
        <w:rPr>
          <w:rFonts w:ascii="Arial" w:cs="Arial" w:eastAsia="Arial" w:hAnsi="Arial"/>
          <w:b/>
          <w:bCs/>
          <w:sz w:val="22"/>
          <w:szCs w:val="22"/>
        </w:rPr>
        <w:t xml:space="preserve">Outlier flagging.</w:t>
      </w:r>
      <w:r>
        <w:rPr>
          <w:rFonts w:ascii="Arial" w:cs="Arial" w:eastAsia="Arial" w:hAnsi="Arial"/>
          <w:sz w:val="22"/>
          <w:szCs w:val="22"/>
        </w:rPr>
        <w:t xml:space="preserve"> Planning calls outside 1.5 interquartile ranges of their configuration's quartiles are counted and reported but kept. Medians are used as the location statistic because the latency distributions are skewed.</w:t>
      </w:r>
    </w:p>
    <w:p>
      <w:pPr>
        <w:pStyle w:val="Heading2"/>
        <w:keepNext/>
        <w:spacing w:after="120" w:before="240"/>
      </w:pPr>
      <w:bookmarkStart w:name="_Toc19" w:id="19"/>
      <w:r>
        <w:rPr>
          <w:rFonts w:ascii="Times New Roman" w:cs="Times New Roman" w:eastAsia="Times New Roman" w:hAnsi="Times New Roman"/>
          <w:b/>
          <w:bCs/>
          <w:color w:val="000000"/>
          <w:sz w:val="28"/>
          <w:szCs w:val="28"/>
        </w:rPr>
        <w:t xml:space="preserve">3.5 Analysis methods</w:t>
      </w:r>
      <w:bookmarkEnd w:id="19"/>
    </w:p>
    <w:p>
      <w:pPr>
        <w:spacing w:after="120" w:line="276"/>
      </w:pPr>
      <w:r>
        <w:rPr>
          <w:rFonts w:ascii="Arial" w:cs="Arial" w:eastAsia="Arial" w:hAnsi="Arial"/>
          <w:b/>
          <w:bCs/>
          <w:sz w:val="22"/>
          <w:szCs w:val="22"/>
        </w:rPr>
        <w:t xml:space="preserve">Stage decomposition.</w:t>
      </w:r>
      <w:r>
        <w:rPr>
          <w:rFonts w:ascii="Arial" w:cs="Arial" w:eastAsia="Arial" w:hAnsi="Arial"/>
          <w:sz w:val="22"/>
          <w:szCs w:val="22"/>
        </w:rPr>
        <w:t xml:space="preserve"> A plan's time is divided into stages: CPU preprocessing, image encoding, the search (rollouts and distribution updates), and synchronisation with the CPU. Each stage is estimated from a direct measurement where one exists (the encoder's time from its micro-benchmark, multiplied by the number of encoder calls counted in the planner's telemetry; the search from the probe that removes the redundant encoding), and the remainder is attributed by difference and labelled as such.</w:t>
      </w:r>
    </w:p>
    <w:p>
      <w:pPr>
        <w:spacing w:after="120" w:line="276"/>
      </w:pPr>
      <w:r>
        <w:rPr>
          <w:rFonts w:ascii="Arial" w:cs="Arial" w:eastAsia="Arial" w:hAnsi="Arial"/>
          <w:b/>
          <w:bCs/>
          <w:sz w:val="22"/>
          <w:szCs w:val="22"/>
        </w:rPr>
        <w:t xml:space="preserve">Scaling model.</w:t>
      </w:r>
      <w:r>
        <w:rPr>
          <w:rFonts w:ascii="Arial" w:cs="Arial" w:eastAsia="Arial" w:hAnsi="Arial"/>
          <w:sz w:val="22"/>
          <w:szCs w:val="22"/>
        </w:rPr>
        <w:t xml:space="preserve"> To tell computation apart from overhead, the latency of one scoring call is modelled as a straight line in the number of candidates N, latency = a + b·N, fitted by least squares for each execution method. The intercept a is the fixed cost of a call, paid whatever its size; the slope b is the cost of each additional candidate. The share a / (a + 300b) is the fraction of a full-size call that is fixed overhead. A share near 1 identifies a launch- or latency-bound regime, in which reducing the number of candidates cannot help. The fitted model also predicts what iCEM should save: with 30 calls in both schedules, the predicted speed-up is (30a + 9,000b) / (30a + 2,820b).</w:t>
      </w:r>
    </w:p>
    <w:p>
      <w:pPr>
        <w:spacing w:after="120" w:line="276"/>
      </w:pPr>
      <w:r>
        <w:rPr>
          <w:rFonts w:ascii="Arial" w:cs="Arial" w:eastAsia="Arial" w:hAnsi="Arial"/>
          <w:b/>
          <w:bCs/>
          <w:sz w:val="22"/>
          <w:szCs w:val="22"/>
        </w:rPr>
        <w:t xml:space="preserve">Per-layer cost.</w:t>
      </w:r>
      <w:r>
        <w:rPr>
          <w:rFonts w:ascii="Arial" w:cs="Arial" w:eastAsia="Arial" w:hAnsi="Arial"/>
          <w:sz w:val="22"/>
          <w:szCs w:val="22"/>
        </w:rPr>
        <w:t xml:space="preserve"> Dividing the search time by the 900 layer evaluations of a plan gives the average cost of one layer evaluation, which can be compared with its arithmetic content and with the measured cost of the GPU's synchronisation primitives.</w:t>
      </w:r>
    </w:p>
    <w:p>
      <w:pPr>
        <w:pStyle w:val="Heading2"/>
        <w:keepNext/>
        <w:spacing w:after="120" w:before="240"/>
      </w:pPr>
      <w:bookmarkStart w:name="_Toc20" w:id="20"/>
      <w:r>
        <w:rPr>
          <w:rFonts w:ascii="Times New Roman" w:cs="Times New Roman" w:eastAsia="Times New Roman" w:hAnsi="Times New Roman"/>
          <w:b/>
          <w:bCs/>
          <w:color w:val="000000"/>
          <w:sz w:val="28"/>
          <w:szCs w:val="28"/>
        </w:rPr>
        <w:t xml:space="preserve">3.6 Evaluation design</w:t>
      </w:r>
      <w:bookmarkEnd w:id="20"/>
    </w:p>
    <w:p>
      <w:pPr>
        <w:spacing w:after="120" w:line="276"/>
      </w:pPr>
      <w:r>
        <w:rPr>
          <w:rFonts w:ascii="Arial" w:cs="Arial" w:eastAsia="Arial" w:hAnsi="Arial"/>
          <w:sz w:val="22"/>
          <w:szCs w:val="22"/>
        </w:rPr>
        <w:t xml:space="preserve">Table 3 summarises the evaluation. Latency is summarised by the median with a bootstrap 95% confidence interval (10,000 resamples over plans) and by the 90th percentile, which matters for a controller with a deadline. Speed-ups are ratios of medians with bootstrap intervals. Task success is reported with Wilson 95% intervals (Wilson, 1927). Systems are compared episode by episode: the counts of episodes won by each side, an exact McNemar test (McNemar, 1947) and a paired bootstrap interval on the difference in success rate (Efron &amp; Tibshirani, 1993). Because the claim is that behaviour does not change, the evaluation's resolution is stated: with the observed 13% of episodes differing between systems, 300 pairs detect a difference of about 6 percentage points at 80% power, and a 2-point difference would need about 2,500 pairs (Connor, 1987). Before any closed-loop run, the new pipeline's scoring was compared with FP32 on identical candidates, and accepted only if its error was no larger than that of the optimised PyTorch planner's BF16 arithmetic, whose closed-loop behaviour had already been accepted.</w:t>
      </w:r>
    </w:p>
    <w:p>
      <w:pPr>
        <w:keepNext/>
        <w:spacing w:after="80" w:before="160" w:line="240"/>
      </w:pPr>
      <w:r>
        <w:rPr>
          <w:rFonts w:ascii="Arial" w:cs="Arial" w:eastAsia="Arial" w:hAnsi="Arial"/>
          <w:b/>
          <w:bCs/>
          <w:sz w:val="20"/>
          <w:szCs w:val="20"/>
        </w:rPr>
        <w:t xml:space="preserve">Table 3. </w:t>
      </w:r>
      <w:r>
        <w:rPr>
          <w:rFonts w:ascii="Arial" w:cs="Arial" w:eastAsia="Arial" w:hAnsi="Arial"/>
          <w:sz w:val="20"/>
          <w:szCs w:val="20"/>
        </w:rPr>
        <w:t xml:space="preserve">Evaluation protocol.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18"/>
        <w:gridCol w:w="6907"/>
      </w:tblGrid>
      <w:tr>
        <w:trPr>
          <w:tblHeader/>
        </w:trPr>
        <w:tc>
          <w:tcPr>
            <w:tcW w:type="dxa" w:w="211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690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setting</w:t>
            </w:r>
          </w:p>
        </w:tc>
      </w:tr>
      <w:tr>
        <w:trPr>
          <w:tblHeader w:val="off"/>
        </w:trPr>
        <w:tc>
          <w:tcPr>
            <w:tcW w:type="dxa" w:w="211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systems</w:t>
            </w:r>
          </w:p>
        </w:tc>
        <w:tc>
          <w:tcPr>
            <w:tcW w:type="dxa" w:w="69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reference planner; optimised PyTorch planner (iCEM, compiled, TF32/BF16); new pipeline (LeWM-MK)</w:t>
            </w:r>
          </w:p>
        </w:tc>
      </w:tr>
      <w:tr>
        <w:trPr>
          <w:tblHeader w:val="off"/>
        </w:trPr>
        <w:tc>
          <w:tcPr>
            <w:tcW w:type="dxa" w:w="211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latency</w:t>
            </w:r>
          </w:p>
        </w:tc>
        <w:tc>
          <w:tcPr>
            <w:tcW w:type="dxa" w:w="69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61 one-robot episodes per system (first dropped), 72 to 76 plans; median, bootstrap 95% CI, 90th percentile</w:t>
            </w:r>
          </w:p>
        </w:tc>
      </w:tr>
      <w:tr>
        <w:trPr>
          <w:tblHeader w:val="off"/>
        </w:trPr>
        <w:tc>
          <w:tcPr>
            <w:tcW w:type="dxa" w:w="211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task success</w:t>
            </w:r>
          </w:p>
        </w:tc>
        <w:tc>
          <w:tcPr>
            <w:tcW w:type="dxa" w:w="69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300 Push-T episodes (seeds 0 to 2 × 100), identical for every system; Wilson intervals; paired McNemar and bootstrap</w:t>
            </w:r>
          </w:p>
        </w:tc>
      </w:tr>
      <w:tr>
        <w:trPr>
          <w:tblHeader w:val="off"/>
        </w:trPr>
        <w:tc>
          <w:tcPr>
            <w:tcW w:type="dxa" w:w="211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numerical fidelity</w:t>
            </w:r>
          </w:p>
        </w:tc>
        <w:tc>
          <w:tcPr>
            <w:tcW w:type="dxa" w:w="69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8 scoring cases against FP32: maximum relative error and top-30 agreement; encoder embedding error</w:t>
            </w:r>
          </w:p>
        </w:tc>
      </w:tr>
      <w:tr>
        <w:trPr>
          <w:tblHeader w:val="off"/>
        </w:trPr>
        <w:tc>
          <w:tcPr>
            <w:tcW w:type="dxa" w:w="211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hardware and software</w:t>
            </w:r>
          </w:p>
        </w:tc>
        <w:tc>
          <w:tcPr>
            <w:tcW w:type="dxa" w:w="690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one NVIDIA H100 80GB HBM3; PyTorch 2.11.0, CUDA 12.8; ThunderKittens commit </w:t>
            </w:r>
            <w:r>
              <w:rPr>
                <w:rFonts w:ascii="Consolas" w:cs="Consolas" w:eastAsia="Consolas" w:hAnsi="Consolas"/>
                <w:b w:val="false"/>
                <w:bCs w:val="false"/>
                <w:sz w:val="20"/>
                <w:szCs w:val="20"/>
              </w:rPr>
              <w:t xml:space="preserve">67845f5f</w:t>
            </w:r>
          </w:p>
        </w:tc>
      </w:tr>
    </w:tbl>
    <w:p>
      <w:pPr>
        <w:spacing w:after="120"/>
      </w:pPr>
    </w:p>
    <w:p>
      <w:pPr>
        <w:pStyle w:val="Heading2"/>
        <w:keepNext/>
        <w:spacing w:after="120" w:before="240"/>
      </w:pPr>
      <w:bookmarkStart w:name="_Toc21" w:id="21"/>
      <w:r>
        <w:rPr>
          <w:rFonts w:ascii="Times New Roman" w:cs="Times New Roman" w:eastAsia="Times New Roman" w:hAnsi="Times New Roman"/>
          <w:b/>
          <w:bCs/>
          <w:color w:val="000000"/>
          <w:sz w:val="28"/>
          <w:szCs w:val="28"/>
        </w:rPr>
        <w:t xml:space="preserve">3.7 Tools and implementation</w:t>
      </w:r>
      <w:bookmarkEnd w:id="21"/>
    </w:p>
    <w:p>
      <w:pPr>
        <w:spacing w:after="120" w:line="276"/>
      </w:pPr>
      <w:r>
        <w:rPr>
          <w:rFonts w:ascii="Arial" w:cs="Arial" w:eastAsia="Arial" w:hAnsi="Arial"/>
          <w:sz w:val="22"/>
          <w:szCs w:val="22"/>
        </w:rPr>
        <w:t xml:space="preserve">The planner and harness are the released LeWM and stable-worldmodel code with an extended benchmark harness. The new kernel is one CUDA source file (</w:t>
      </w:r>
      <w:r>
        <w:rPr>
          <w:rFonts w:ascii="Consolas" w:cs="Consolas" w:eastAsia="Consolas" w:hAnsi="Consolas"/>
          <w:sz w:val="20"/>
          <w:szCs w:val="20"/>
        </w:rPr>
        <w:t xml:space="preserve">megakernel/lewm_mk.cu</w:t>
      </w:r>
      <w:r>
        <w:rPr>
          <w:rFonts w:ascii="Arial" w:cs="Arial" w:eastAsia="Arial" w:hAnsi="Arial"/>
          <w:sz w:val="22"/>
          <w:szCs w:val="22"/>
        </w:rPr>
        <w:t xml:space="preserve">, about 1,600 lines) with a Python packer, runtime and planner class. GPU work ran on Modal. The analysis is one Python program (</w:t>
      </w:r>
      <w:r>
        <w:rPr>
          <w:rFonts w:ascii="Consolas" w:cs="Consolas" w:eastAsia="Consolas" w:hAnsi="Consolas"/>
          <w:sz w:val="20"/>
          <w:szCs w:val="20"/>
        </w:rPr>
        <w:t xml:space="preserve">solution_pack/lewm_flash.py</w:t>
      </w:r>
      <w:r>
        <w:rPr>
          <w:rFonts w:ascii="Arial" w:cs="Arial" w:eastAsia="Arial" w:hAnsi="Arial"/>
          <w:sz w:val="22"/>
          <w:szCs w:val="22"/>
        </w:rPr>
        <w:t xml:space="preserve">) that needs only numpy and matplotlib; it regenerates every table, statistic and data figure in this report from the CSV datasets in about five seconds on a laptop.</w:t>
      </w:r>
    </w:p>
    <w:p>
      <w:pPr>
        <w:pStyle w:val="Heading1"/>
        <w:keepNext/>
        <w:pageBreakBefore/>
        <w:spacing w:after="120" w:before="360"/>
      </w:pPr>
      <w:bookmarkStart w:name="_Toc22" w:id="22"/>
      <w:r>
        <w:rPr>
          <w:rFonts w:ascii="Times New Roman" w:cs="Times New Roman" w:eastAsia="Times New Roman" w:hAnsi="Times New Roman"/>
          <w:b/>
          <w:bCs/>
          <w:color w:val="000000"/>
          <w:sz w:val="32"/>
          <w:szCs w:val="32"/>
        </w:rPr>
        <w:t xml:space="preserve">4. Compute-profile analysis</w:t>
      </w:r>
      <w:bookmarkEnd w:id="22"/>
    </w:p>
    <w:p>
      <w:pPr>
        <w:spacing w:after="120" w:line="276"/>
      </w:pPr>
      <w:r>
        <w:rPr>
          <w:rFonts w:ascii="Arial" w:cs="Arial" w:eastAsia="Arial" w:hAnsi="Arial"/>
          <w:sz w:val="22"/>
          <w:szCs w:val="22"/>
        </w:rPr>
        <w:t xml:space="preserve">This section reports what the data showed about the reference planner. Its findings fixed the design of Section 5.</w:t>
      </w:r>
    </w:p>
    <w:p>
      <w:pPr>
        <w:pStyle w:val="Heading2"/>
        <w:keepNext/>
        <w:spacing w:after="120" w:before="240"/>
      </w:pPr>
      <w:bookmarkStart w:name="_Toc23" w:id="23"/>
      <w:r>
        <w:rPr>
          <w:rFonts w:ascii="Times New Roman" w:cs="Times New Roman" w:eastAsia="Times New Roman" w:hAnsi="Times New Roman"/>
          <w:b/>
          <w:bCs/>
          <w:color w:val="000000"/>
          <w:sz w:val="28"/>
          <w:szCs w:val="28"/>
        </w:rPr>
        <w:t xml:space="preserve">4.1 Where a plan's time goes</w:t>
      </w:r>
      <w:bookmarkEnd w:id="23"/>
    </w:p>
    <w:p>
      <w:pPr>
        <w:spacing w:after="120" w:line="276"/>
      </w:pPr>
      <w:r>
        <w:rPr>
          <w:rFonts w:ascii="Arial" w:cs="Arial" w:eastAsia="Arial" w:hAnsi="Arial"/>
          <w:sz w:val="22"/>
          <w:szCs w:val="22"/>
        </w:rPr>
        <w:t xml:space="preserve">The reference planner's median planning call takes 622.4 ms (95% CI 605.5 to 626.7) and is spread widely, from 556 to 759 ms. Planner telemetry from the 300-episode evaluation shows that 99.3% of a planning call is spent inside the search itself, so the policy code around it is not the problem. Table 4 breaks the call into stages.</w:t>
      </w:r>
    </w:p>
    <w:p>
      <w:pPr>
        <w:keepNext/>
        <w:spacing w:after="80" w:before="160" w:line="240"/>
      </w:pPr>
      <w:r>
        <w:rPr>
          <w:rFonts w:ascii="Arial" w:cs="Arial" w:eastAsia="Arial" w:hAnsi="Arial"/>
          <w:b/>
          <w:bCs/>
          <w:sz w:val="20"/>
          <w:szCs w:val="20"/>
        </w:rPr>
        <w:t xml:space="preserve">Table 4. </w:t>
      </w:r>
      <w:r>
        <w:rPr>
          <w:rFonts w:ascii="Arial" w:cs="Arial" w:eastAsia="Arial" w:hAnsi="Arial"/>
          <w:sz w:val="20"/>
          <w:szCs w:val="20"/>
        </w:rPr>
        <w:t xml:space="preserve">Compute profile of one reference planning call (median, one robot, one H100).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910"/>
        <w:gridCol w:w="910"/>
        <w:gridCol w:w="4304"/>
      </w:tblGrid>
      <w:tr>
        <w:trPr>
          <w:tblHeader/>
        </w:trPr>
        <w:tc>
          <w:tcPr>
            <w:tcW w:type="dxa" w:w="290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stage</w:t>
            </w:r>
          </w:p>
        </w:tc>
        <w:tc>
          <w:tcPr>
            <w:tcW w:type="dxa" w:w="9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ms</w:t>
            </w:r>
          </w:p>
        </w:tc>
        <w:tc>
          <w:tcPr>
            <w:tcW w:type="dxa" w:w="9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share</w:t>
            </w:r>
          </w:p>
        </w:tc>
        <w:tc>
          <w:tcPr>
            <w:tcW w:type="dxa" w:w="430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how it was measured</w:t>
            </w:r>
          </w:p>
        </w:tc>
      </w:tr>
      <w:tr>
        <w:trPr>
          <w:tblHeader w:val="off"/>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CPU preprocessing and policy code</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2.1</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w:t>
            </w:r>
          </w:p>
        </w:tc>
        <w:tc>
          <w:tcPr>
            <w:tcW w:type="dxa" w:w="43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median of the calls that only pop a planned action</w:t>
            </w:r>
          </w:p>
        </w:tc>
      </w:tr>
      <w:tr>
        <w:trPr>
          <w:tblHeader w:val="off"/>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image encoding</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207.4</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33.3%</w:t>
            </w:r>
          </w:p>
        </w:tc>
        <w:tc>
          <w:tcPr>
            <w:tcW w:type="dxa" w:w="43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60 encoder calls per plan (planner telemetry) × 3.46 ms per image (micro-benchmark: 6.91 ms for observation and goal)</w:t>
            </w:r>
          </w:p>
        </w:tc>
      </w:tr>
      <w:tr>
        <w:trPr>
          <w:tblHeader w:val="off"/>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predictor rollouts and distribution updates</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368.1</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59.1%</w:t>
            </w:r>
          </w:p>
        </w:tc>
        <w:tc>
          <w:tcPr>
            <w:tcW w:type="dxa" w:w="43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probe that encodes once per plan: its planning call minus its policy cost minus one encoding</w:t>
            </w:r>
          </w:p>
        </w:tc>
      </w:tr>
      <w:tr>
        <w:trPr>
          <w:tblHeader w:val="off"/>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CPU synchronisation and other</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44.8</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7.2%</w:t>
            </w:r>
          </w:p>
        </w:tc>
        <w:tc>
          <w:tcPr>
            <w:tcW w:type="dxa" w:w="43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remainder, by difference</w:t>
            </w:r>
          </w:p>
        </w:tc>
      </w:tr>
      <w:tr>
        <w:trPr>
          <w:tblHeader w:val="off"/>
        </w:trPr>
        <w:tc>
          <w:tcPr>
            <w:tcW w:type="dxa" w:w="290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total</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622.4</w:t>
            </w:r>
          </w:p>
        </w:tc>
        <w:tc>
          <w:tcPr>
            <w:tcW w:type="dxa" w:w="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c>
          <w:tcPr>
            <w:tcW w:type="dxa" w:w="430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end-to-end median</w:t>
            </w:r>
          </w:p>
        </w:tc>
      </w:tr>
    </w:tbl>
    <w:p>
      <w:pPr>
        <w:spacing w:after="120"/>
      </w:pPr>
    </w:p>
    <w:p>
      <w:pPr>
        <w:spacing w:after="120" w:line="276"/>
      </w:pPr>
      <w:r>
        <w:rPr>
          <w:rFonts w:ascii="Arial" w:cs="Arial" w:eastAsia="Arial" w:hAnsi="Arial"/>
          <w:sz w:val="22"/>
          <w:szCs w:val="22"/>
        </w:rPr>
        <w:t xml:space="preserve">Three findings follow from the profile and from the measurements behind it.</w:t>
      </w:r>
    </w:p>
    <w:p>
      <w:pPr>
        <w:pStyle w:val="Heading2"/>
        <w:keepNext/>
        <w:spacing w:after="120" w:before="240"/>
      </w:pPr>
      <w:bookmarkStart w:name="_Toc24" w:id="24"/>
      <w:r>
        <w:rPr>
          <w:rFonts w:ascii="Times New Roman" w:cs="Times New Roman" w:eastAsia="Times New Roman" w:hAnsi="Times New Roman"/>
          <w:b/>
          <w:bCs/>
          <w:color w:val="000000"/>
          <w:sz w:val="28"/>
          <w:szCs w:val="28"/>
        </w:rPr>
        <w:t xml:space="preserve">4.2 Finding 1: a third of the time re-encodes the same two images</w:t>
      </w:r>
      <w:bookmarkEnd w:id="24"/>
    </w:p>
    <w:p>
      <w:pPr>
        <w:spacing w:after="120" w:line="276"/>
      </w:pPr>
      <w:r>
        <w:rPr>
          <w:rFonts w:ascii="Arial" w:cs="Arial" w:eastAsia="Arial" w:hAnsi="Arial"/>
          <w:sz w:val="22"/>
          <w:szCs w:val="22"/>
        </w:rPr>
        <w:t xml:space="preserve">A plan has two distinct images, the current observation and the goal, but the planner's telemetry counts 60 encoder calls per plan: the released planner treats the encoder as part of the scoring function and re-encodes both images in each of its 30 iterations. The images do not change during a plan, so 58 of the 60 calls are redundant, and they cost about 207 ms, a third of the plan. This is pure waste: removing it changes no computed value.</w:t>
      </w:r>
    </w:p>
    <w:p>
      <w:pPr>
        <w:pStyle w:val="Heading2"/>
        <w:keepNext/>
        <w:spacing w:after="120" w:before="240"/>
      </w:pPr>
      <w:bookmarkStart w:name="_Toc25" w:id="25"/>
      <w:r>
        <w:rPr>
          <w:rFonts w:ascii="Times New Roman" w:cs="Times New Roman" w:eastAsia="Times New Roman" w:hAnsi="Times New Roman"/>
          <w:b/>
          <w:bCs/>
          <w:color w:val="000000"/>
          <w:sz w:val="28"/>
          <w:szCs w:val="28"/>
        </w:rPr>
        <w:t xml:space="preserve">4.3 Finding 2: the search is bound by overhead, not computation</w:t>
      </w:r>
      <w:bookmarkEnd w:id="25"/>
    </w:p>
    <w:p>
      <w:pPr>
        <w:spacing w:after="120" w:line="276"/>
      </w:pPr>
      <w:r>
        <w:rPr>
          <w:rFonts w:ascii="Arial" w:cs="Arial" w:eastAsia="Arial" w:hAnsi="Arial"/>
          <w:sz w:val="22"/>
          <w:szCs w:val="22"/>
        </w:rPr>
        <w:t xml:space="preserve">The search takes 368 ms for 30 iterations, 12.3 ms per iteration, or 409 µs per transformer-layer evaluation. The arithmetic of one layer evaluation for 300 candidates is a few billion floating-point operations: about 3 µs of the H100's BF16 tensor-core capacity, and still only tens of microseconds even at its FP32 rate without tensor cores. More than nine-tenths of the search time is therefore not computation.</w:t>
      </w:r>
    </w:p>
    <w:p>
      <w:pPr>
        <w:spacing w:after="120" w:line="276"/>
      </w:pPr>
      <w:r>
        <w:rPr>
          <w:rFonts w:ascii="Arial" w:cs="Arial" w:eastAsia="Arial" w:hAnsi="Arial"/>
          <w:sz w:val="22"/>
          <w:szCs w:val="22"/>
        </w:rPr>
        <w:t xml:space="preserve">The scaling model identifies what it is (Figure 3, Table 5). For eager PyTorch, one scoring call costs 20.0 ms of fixed overhead plus 0.10 ms per hundred candidates: 99% of a full-size call is fixed. The call is a sequence of a few hundred small kernels, each launched from Python, and each finishes before the next is issued, so its time is set by the number of launches, not by the number of candidates. Compiling the call with </w:t>
      </w:r>
      <w:r>
        <w:rPr>
          <w:rFonts w:ascii="Consolas" w:cs="Consolas" w:eastAsia="Consolas" w:hAnsi="Consolas"/>
          <w:sz w:val="20"/>
          <w:szCs w:val="20"/>
        </w:rPr>
        <w:t xml:space="preserve">torch.compile</w:t>
      </w:r>
      <w:r>
        <w:rPr>
          <w:rFonts w:ascii="Arial" w:cs="Arial" w:eastAsia="Arial" w:hAnsi="Arial"/>
          <w:sz w:val="22"/>
          <w:szCs w:val="22"/>
        </w:rPr>
        <w:t xml:space="preserve"> and replaying it as a CUDA Graph cuts the fixed part to 1.9 ms, but the compiled planner still returns to the CPU every iteration, and its single-robot search still takes 82.3 ms for arithmetic worth a few milliseconds.</w:t>
      </w:r>
    </w:p>
    <w:p>
      <w:pPr>
        <w:keepNext/>
        <w:spacing w:after="60" w:before="120"/>
        <w:jc w:val="center"/>
      </w:pPr>
      <w:r>
        <w:drawing>
          <wp:inline distT="0" distB="0" distL="0" distR="0">
            <wp:extent cx="5762625" cy="2638425"/>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63842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3. </w:t>
      </w:r>
      <w:r>
        <w:rPr>
          <w:rFonts w:ascii="Arial" w:cs="Arial" w:eastAsia="Arial" w:hAnsi="Arial"/>
          <w:sz w:val="20"/>
          <w:szCs w:val="20"/>
        </w:rPr>
        <w:t xml:space="preserve">Latency of one scoring call (a five-step rollout of every candidate) against the number of candidates, with the fitted line latency = a + b·N for each execution method. Eager PyTorch is almost entirely fixed overhead; the megakernel's call is shown for comparison (Section 6.5). Medians of 30 to 50 calls on one H100.</w:t>
      </w:r>
    </w:p>
    <w:p>
      <w:pPr>
        <w:keepNext/>
        <w:spacing w:after="80" w:before="160" w:line="240"/>
      </w:pPr>
      <w:r>
        <w:rPr>
          <w:rFonts w:ascii="Arial" w:cs="Arial" w:eastAsia="Arial" w:hAnsi="Arial"/>
          <w:b/>
          <w:bCs/>
          <w:sz w:val="20"/>
          <w:szCs w:val="20"/>
        </w:rPr>
        <w:t xml:space="preserve">Table 5. </w:t>
      </w:r>
      <w:r>
        <w:rPr>
          <w:rFonts w:ascii="Arial" w:cs="Arial" w:eastAsia="Arial" w:hAnsi="Arial"/>
          <w:sz w:val="20"/>
          <w:szCs w:val="20"/>
        </w:rPr>
        <w:t xml:space="preserve">Fitted scaling model of one scoring call, and what it predicts iCEM saves (30 iterations in both schedules: CEM 9,000 rollouts, iCEM 2,820).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9"/>
        <w:gridCol w:w="927"/>
        <w:gridCol w:w="1664"/>
        <w:gridCol w:w="779"/>
        <w:gridCol w:w="927"/>
        <w:gridCol w:w="1516"/>
      </w:tblGrid>
      <w:tr>
        <w:trPr>
          <w:tblHeader/>
        </w:trPr>
        <w:tc>
          <w:tcPr>
            <w:tcW w:type="dxa" w:w="320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execution</w:t>
            </w:r>
          </w:p>
        </w:tc>
        <w:tc>
          <w:tcPr>
            <w:tcW w:type="dxa" w:w="92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fixed cost a (ms)</w:t>
            </w:r>
          </w:p>
        </w:tc>
        <w:tc>
          <w:tcPr>
            <w:tcW w:type="dxa" w:w="166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per 100 candidates b (ms)</w:t>
            </w:r>
          </w:p>
        </w:tc>
        <w:tc>
          <w:tcPr>
            <w:tcW w:type="dxa" w:w="779"/>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R²</w:t>
            </w:r>
          </w:p>
        </w:tc>
        <w:tc>
          <w:tcPr>
            <w:tcW w:type="dxa" w:w="92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fixed share at 300</w:t>
            </w:r>
          </w:p>
        </w:tc>
        <w:tc>
          <w:tcPr>
            <w:tcW w:type="dxa" w:w="151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predicted iCEM speed-up</w:t>
            </w:r>
          </w:p>
        </w:tc>
      </w:tr>
      <w:tr>
        <w:trPr>
          <w:tblHeader w:val="off"/>
        </w:trPr>
        <w:tc>
          <w:tcPr>
            <w:tcW w:type="dxa" w:w="320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PyTorch eager FP32 (reference)</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19.96</w:t>
            </w:r>
          </w:p>
        </w:tc>
        <w:tc>
          <w:tcPr>
            <w:tcW w:type="dxa" w:w="166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0.095</w:t>
            </w:r>
          </w:p>
        </w:tc>
        <w:tc>
          <w:tcPr>
            <w:tcW w:type="dxa" w:w="77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0.26</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0.99</w:t>
            </w:r>
          </w:p>
        </w:tc>
        <w:tc>
          <w:tcPr>
            <w:tcW w:type="dxa" w:w="15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1.01×</w:t>
            </w:r>
          </w:p>
        </w:tc>
      </w:tr>
      <w:tr>
        <w:trPr>
          <w:tblHeader w:val="off"/>
        </w:trPr>
        <w:tc>
          <w:tcPr>
            <w:tcW w:type="dxa" w:w="320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PyTorch compiled BF16 (optimised baseline)</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1.95</w:t>
            </w:r>
          </w:p>
        </w:tc>
        <w:tc>
          <w:tcPr>
            <w:tcW w:type="dxa" w:w="166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0.971</w:t>
            </w:r>
          </w:p>
        </w:tc>
        <w:tc>
          <w:tcPr>
            <w:tcW w:type="dxa" w:w="77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1.00</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0.40</w:t>
            </w:r>
          </w:p>
        </w:tc>
        <w:tc>
          <w:tcPr>
            <w:tcW w:type="dxa" w:w="15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1.70×</w:t>
            </w:r>
          </w:p>
        </w:tc>
      </w:tr>
      <w:tr>
        <w:trPr>
          <w:tblHeader w:val="off"/>
        </w:trPr>
        <w:tc>
          <w:tcPr>
            <w:tcW w:type="dxa" w:w="320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megakernel, one call per launch</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1.04</w:t>
            </w:r>
          </w:p>
        </w:tc>
        <w:tc>
          <w:tcPr>
            <w:tcW w:type="dxa" w:w="166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0.362</w:t>
            </w:r>
          </w:p>
        </w:tc>
        <w:tc>
          <w:tcPr>
            <w:tcW w:type="dxa" w:w="779"/>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0.79</w:t>
            </w:r>
          </w:p>
        </w:tc>
        <w:tc>
          <w:tcPr>
            <w:tcW w:type="dxa" w:w="92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0.49</w:t>
            </w:r>
          </w:p>
        </w:tc>
        <w:tc>
          <w:tcPr>
            <w:tcW w:type="dxa" w:w="15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1.54×</w:t>
            </w:r>
          </w:p>
        </w:tc>
      </w:tr>
    </w:tbl>
    <w:p>
      <w:pPr>
        <w:spacing w:after="120"/>
      </w:pPr>
    </w:p>
    <w:p>
      <w:pPr>
        <w:spacing w:after="120" w:line="276"/>
      </w:pPr>
      <w:r>
        <w:rPr>
          <w:rFonts w:ascii="Arial" w:cs="Arial" w:eastAsia="Arial" w:hAnsi="Arial"/>
          <w:sz w:val="22"/>
          <w:szCs w:val="22"/>
        </w:rPr>
        <w:t xml:space="preserve">The low R² for eager execution is itself the finding: there is almost no variation with the number of candidates for a line to explain.</w:t>
      </w:r>
    </w:p>
    <w:p>
      <w:pPr>
        <w:pStyle w:val="Heading2"/>
        <w:keepNext/>
        <w:spacing w:after="120" w:before="240"/>
      </w:pPr>
      <w:bookmarkStart w:name="_Toc26" w:id="26"/>
      <w:r>
        <w:rPr>
          <w:rFonts w:ascii="Times New Roman" w:cs="Times New Roman" w:eastAsia="Times New Roman" w:hAnsi="Times New Roman"/>
          <w:b/>
          <w:bCs/>
          <w:color w:val="000000"/>
          <w:sz w:val="28"/>
          <w:szCs w:val="28"/>
        </w:rPr>
        <w:t xml:space="preserve">4.4 Finding 3: sample-efficient search only pays once overhead is gone</w:t>
      </w:r>
      <w:bookmarkEnd w:id="26"/>
    </w:p>
    <w:p>
      <w:pPr>
        <w:spacing w:after="120" w:line="276"/>
      </w:pPr>
      <w:r>
        <w:rPr>
          <w:rFonts w:ascii="Arial" w:cs="Arial" w:eastAsia="Arial" w:hAnsi="Arial"/>
          <w:sz w:val="22"/>
          <w:szCs w:val="22"/>
        </w:rPr>
        <w:t xml:space="preserve">iCEM evaluates 3.19 times fewer candidates than CEM, and the scaling model predicts what that is worth. Under eager execution, where 99% of each call is fixed, it predicts a speed-up of 1.01, that is, nothing. The probes confirm it: encoding once per plan, the eager planner takes 377 ms with CEM and 410 ms with iCEM, 0.92 times as fast, because iCEM's bookkeeping costs slightly more than its smaller batches save. Only an execution method with a small fixed cost can turn fewer candidates into less time. A sample-efficient algorithm and an efficient execution model are therefore complements, not alternatives, and the design must provide both.</w:t>
      </w:r>
    </w:p>
    <w:p>
      <w:pPr>
        <w:pStyle w:val="Heading2"/>
        <w:keepNext/>
        <w:spacing w:after="120" w:before="240"/>
      </w:pPr>
      <w:bookmarkStart w:name="_Toc27" w:id="27"/>
      <w:r>
        <w:rPr>
          <w:rFonts w:ascii="Times New Roman" w:cs="Times New Roman" w:eastAsia="Times New Roman" w:hAnsi="Times New Roman"/>
          <w:b/>
          <w:bCs/>
          <w:color w:val="000000"/>
          <w:sz w:val="28"/>
          <w:szCs w:val="28"/>
        </w:rPr>
        <w:t xml:space="preserve">4.5 From findings to design</w:t>
      </w:r>
      <w:bookmarkEnd w:id="27"/>
    </w:p>
    <w:p>
      <w:pPr>
        <w:spacing w:after="120" w:line="276"/>
      </w:pPr>
      <w:r>
        <w:rPr>
          <w:rFonts w:ascii="Arial" w:cs="Arial" w:eastAsia="Arial" w:hAnsi="Arial"/>
          <w:sz w:val="22"/>
          <w:szCs w:val="22"/>
        </w:rPr>
        <w:t xml:space="preserve">Table 6 maps each finding to the design response of Section 5.</w:t>
      </w:r>
    </w:p>
    <w:p>
      <w:pPr>
        <w:keepNext/>
        <w:spacing w:after="80" w:before="160" w:line="240"/>
      </w:pPr>
      <w:r>
        <w:rPr>
          <w:rFonts w:ascii="Arial" w:cs="Arial" w:eastAsia="Arial" w:hAnsi="Arial"/>
          <w:b/>
          <w:bCs/>
          <w:sz w:val="20"/>
          <w:szCs w:val="20"/>
        </w:rPr>
        <w:t xml:space="preserve">Table 6. </w:t>
      </w:r>
      <w:r>
        <w:rPr>
          <w:rFonts w:ascii="Arial" w:cs="Arial" w:eastAsia="Arial" w:hAnsi="Arial"/>
          <w:sz w:val="20"/>
          <w:szCs w:val="20"/>
        </w:rPr>
        <w:t xml:space="preserve">Design responses to the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21"/>
        <w:gridCol w:w="3131"/>
        <w:gridCol w:w="3472"/>
      </w:tblGrid>
      <w:tr>
        <w:trPr>
          <w:tblHeader/>
        </w:trPr>
        <w:tc>
          <w:tcPr>
            <w:tcW w:type="dxa" w:w="242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finding</w:t>
            </w:r>
          </w:p>
        </w:tc>
        <w:tc>
          <w:tcPr>
            <w:tcW w:type="dxa" w:w="31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evidence</w:t>
            </w:r>
          </w:p>
        </w:tc>
        <w:tc>
          <w:tcPr>
            <w:tcW w:type="dxa" w:w="347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design response</w:t>
            </w:r>
          </w:p>
        </w:tc>
      </w:tr>
      <w:tr>
        <w:trPr>
          <w:tblHeader w:val="off"/>
        </w:trPr>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58 of 60 encoder calls per plan are redundant</w:t>
            </w:r>
          </w:p>
        </w:tc>
        <w:tc>
          <w:tcPr>
            <w:tcW w:type="dxa" w:w="31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telemetry; 207 ms, 33%</w:t>
            </w:r>
          </w:p>
        </w:tc>
        <w:tc>
          <w:tcPr>
            <w:tcW w:type="dxa" w:w="34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 each image once per plan; cache the goal for the whole episode</w:t>
            </w:r>
          </w:p>
        </w:tc>
      </w:tr>
      <w:tr>
        <w:trPr>
          <w:tblHeader w:val="off"/>
        </w:trPr>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search is fixed overhead: launches, Python, CPU round trips</w:t>
            </w:r>
          </w:p>
        </w:tc>
        <w:tc>
          <w:tcPr>
            <w:tcW w:type="dxa" w:w="31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99% fixed share; 409 µs per layer for about 3 µs of arithmetic; 45 ms of synchronisation</w:t>
            </w:r>
          </w:p>
        </w:tc>
        <w:tc>
          <w:tcPr>
            <w:tcW w:type="dxa" w:w="34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run all 30 iterations, including sampling, scoring and distribution updates, inside one GPU program</w:t>
            </w:r>
          </w:p>
        </w:tc>
      </w:tr>
      <w:tr>
        <w:trPr>
          <w:tblHeader w:val="off"/>
        </w:trPr>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fewer candidates only help without the overhead</w:t>
            </w:r>
          </w:p>
        </w:tc>
        <w:tc>
          <w:tcPr>
            <w:tcW w:type="dxa" w:w="31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predicted 1.01× and observed 0.92× for iCEM in eager PyTorch</w:t>
            </w:r>
          </w:p>
        </w:tc>
        <w:tc>
          <w:tcPr>
            <w:tcW w:type="dxa" w:w="34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adopt iCEM together with, not instead of, the fused execution</w:t>
            </w:r>
          </w:p>
        </w:tc>
      </w:tr>
      <w:tr>
        <w:trPr>
          <w:tblHeader w:val="off"/>
        </w:trPr>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work is a long dependent chain of tiny steps</w:t>
            </w:r>
          </w:p>
        </w:tc>
        <w:tc>
          <w:tcPr>
            <w:tcW w:type="dxa" w:w="31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900 layer evaluations per plan, 64 to 300 rows each</w:t>
            </w:r>
          </w:p>
        </w:tc>
        <w:tc>
          <w:tcPr>
            <w:tcW w:type="dxa" w:w="34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minimise the cost of each step: keep data on chip, cheap synchronisation, weights prefetched ahead of use</w:t>
            </w:r>
          </w:p>
        </w:tc>
      </w:tr>
      <w:tr>
        <w:trPr>
          <w:tblHeader w:val="off"/>
        </w:trPr>
        <w:tc>
          <w:tcPr>
            <w:tcW w:type="dxa" w:w="24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encoding becomes a visible share once the search is fast</w:t>
            </w:r>
          </w:p>
        </w:tc>
        <w:tc>
          <w:tcPr>
            <w:tcW w:type="dxa" w:w="31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6.9 ms of PyTorch encoding against a 41 ms search</w:t>
            </w:r>
          </w:p>
        </w:tc>
        <w:tc>
          <w:tcPr>
            <w:tcW w:type="dxa" w:w="34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move the encoder into the same GPU program</w:t>
            </w:r>
          </w:p>
        </w:tc>
      </w:tr>
    </w:tbl>
    <w:p>
      <w:pPr>
        <w:spacing w:after="120"/>
      </w:pPr>
    </w:p>
    <w:p>
      <w:pPr>
        <w:pStyle w:val="Heading1"/>
        <w:keepNext/>
        <w:pageBreakBefore/>
        <w:spacing w:after="120" w:before="360"/>
      </w:pPr>
      <w:bookmarkStart w:name="_Toc28" w:id="28"/>
      <w:r>
        <w:rPr>
          <w:rFonts w:ascii="Times New Roman" w:cs="Times New Roman" w:eastAsia="Times New Roman" w:hAnsi="Times New Roman"/>
          <w:b/>
          <w:bCs/>
          <w:color w:val="000000"/>
          <w:sz w:val="32"/>
          <w:szCs w:val="32"/>
        </w:rPr>
        <w:t xml:space="preserve">5. Solution design and development</w:t>
      </w:r>
      <w:bookmarkEnd w:id="28"/>
    </w:p>
    <w:p>
      <w:pPr>
        <w:spacing w:after="120" w:line="276"/>
      </w:pPr>
      <w:r>
        <w:rPr>
          <w:rFonts w:ascii="Arial" w:cs="Arial" w:eastAsia="Arial" w:hAnsi="Arial"/>
          <w:sz w:val="22"/>
          <w:szCs w:val="22"/>
        </w:rPr>
        <w:t xml:space="preserve">The solution, LeWM-MK, combines four changes, each a response to a finding of Section 4. The trained model is used unchanged, and the planner keeps the reference's horizon, iteration count and elite count.</w:t>
      </w:r>
    </w:p>
    <w:p>
      <w:pPr>
        <w:pStyle w:val="Heading2"/>
        <w:keepNext/>
        <w:spacing w:after="120" w:before="240"/>
      </w:pPr>
      <w:bookmarkStart w:name="_Toc29" w:id="29"/>
      <w:r>
        <w:rPr>
          <w:rFonts w:ascii="Times New Roman" w:cs="Times New Roman" w:eastAsia="Times New Roman" w:hAnsi="Times New Roman"/>
          <w:b/>
          <w:bCs/>
          <w:color w:val="000000"/>
          <w:sz w:val="28"/>
          <w:szCs w:val="28"/>
        </w:rPr>
        <w:t xml:space="preserve">5.1 Encode each image once</w:t>
      </w:r>
      <w:bookmarkEnd w:id="29"/>
    </w:p>
    <w:p>
      <w:pPr>
        <w:spacing w:after="120" w:line="276"/>
      </w:pPr>
      <w:r>
        <w:rPr>
          <w:rFonts w:ascii="Arial" w:cs="Arial" w:eastAsia="Arial" w:hAnsi="Arial"/>
          <w:sz w:val="22"/>
          <w:szCs w:val="22"/>
        </w:rPr>
        <w:t xml:space="preserve">The observation and the goal are encoded once per plan and passed to the search as embeddings, and the search keeps its ranking and distribution updates on the GPU, so that the CPU waits only for the final result. Within an episode the goal image never changes, so its embedding is computed on the first plan and reused, keyed by a hash of the image's bytes. This change is exact: on fixed candidates it reproduces the reference's scores with zero difference.</w:t>
      </w:r>
    </w:p>
    <w:p>
      <w:pPr>
        <w:pStyle w:val="Heading2"/>
        <w:keepNext/>
        <w:spacing w:after="120" w:before="240"/>
      </w:pPr>
      <w:bookmarkStart w:name="_Toc30" w:id="30"/>
      <w:r>
        <w:rPr>
          <w:rFonts w:ascii="Times New Roman" w:cs="Times New Roman" w:eastAsia="Times New Roman" w:hAnsi="Times New Roman"/>
          <w:b/>
          <w:bCs/>
          <w:color w:val="000000"/>
          <w:sz w:val="28"/>
          <w:szCs w:val="28"/>
        </w:rPr>
        <w:t xml:space="preserve">5.2 Search with iCEM</w:t>
      </w:r>
      <w:bookmarkEnd w:id="30"/>
    </w:p>
    <w:p>
      <w:pPr>
        <w:spacing w:after="120" w:line="276"/>
      </w:pPr>
      <w:r>
        <w:rPr>
          <w:rFonts w:ascii="Arial" w:cs="Arial" w:eastAsia="Arial" w:hAnsi="Arial"/>
          <w:sz w:val="22"/>
          <w:szCs w:val="22"/>
        </w:rPr>
        <w:t xml:space="preserve">The search uses iCEM with the schedule that an earlier study of this planner validated on Push-T (Appendix C): 300 candidates in the first iteration, shrinking by a factor of 1.25 per iteration to a floor of 60 (twice the elite count), rounded up to multiples of 60 so that only five batch shapes occur; the top 30 candidates as elites; and the best 5 elites of each iteration carried into the next. A plan evaluates 2,820 rollouts instead of 9,000. Coloured noise, momentum and action clipping, which iCEM also offers, reduced success on Push-T and are not used. As Finding 3 showed, this change saves time only in combination with the next.</w:t>
      </w:r>
    </w:p>
    <w:p>
      <w:pPr>
        <w:pStyle w:val="Heading2"/>
        <w:keepNext/>
        <w:spacing w:after="120" w:before="240"/>
      </w:pPr>
      <w:bookmarkStart w:name="_Toc31" w:id="31"/>
      <w:r>
        <w:rPr>
          <w:rFonts w:ascii="Times New Roman" w:cs="Times New Roman" w:eastAsia="Times New Roman" w:hAnsi="Times New Roman"/>
          <w:b/>
          <w:bCs/>
          <w:color w:val="000000"/>
          <w:sz w:val="28"/>
          <w:szCs w:val="28"/>
        </w:rPr>
        <w:t xml:space="preserve">5.3 One GPU program per plan</w:t>
      </w:r>
      <w:bookmarkEnd w:id="31"/>
    </w:p>
    <w:p>
      <w:pPr>
        <w:spacing w:after="120" w:line="276"/>
      </w:pPr>
      <w:r>
        <w:rPr>
          <w:rFonts w:ascii="Arial" w:cs="Arial" w:eastAsia="Arial" w:hAnsi="Arial"/>
          <w:sz w:val="22"/>
          <w:szCs w:val="22"/>
        </w:rPr>
        <w:t xml:space="preserve">The core of the solution is a persistent kernel that runs a whole plan: all 30 iterations of sampling candidates, encoding their actions, computing the AdaLN modulation, rolling every candidate through the predictor for five steps, scoring, selecting the elites and refitting the distribution. The CPU launches it once and receives the final action distribution. Figure 4 shows its structure. It is written with ThunderKittens for the H100 (Spector, Arora, et al., 2025).</w:t>
      </w:r>
    </w:p>
    <w:p>
      <w:pPr>
        <w:keepNext/>
        <w:spacing w:after="60" w:before="120"/>
        <w:jc w:val="center"/>
      </w:pPr>
      <w:r>
        <w:drawing>
          <wp:inline distT="0" distB="0" distL="0" distR="0">
            <wp:extent cx="5762625" cy="299085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99085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4. </w:t>
      </w:r>
      <w:r>
        <w:rPr>
          <w:rFonts w:ascii="Arial" w:cs="Arial" w:eastAsia="Arial" w:hAnsi="Arial"/>
          <w:sz w:val="20"/>
          <w:szCs w:val="20"/>
        </w:rPr>
        <w:t xml:space="preserve">Structure of LeWM-MK. (a) One launch per plan, beginning with the encoder (Section 5.4). (b) The phases of one iCEM iteration, separated by barriers across the whole GPU. (c) One transformer layer inside a cluster of 8 or 16 processors: each computes its share of the attention heads and MLP, owner processors combine the partial results through distributed shared memory, apply the residual connection, normalisation and AdaLN modulation, and broadcast the input of the next operation.</w:t>
      </w:r>
    </w:p>
    <w:p>
      <w:pPr>
        <w:spacing w:after="120" w:line="276"/>
      </w:pPr>
      <w:r>
        <w:rPr>
          <w:rFonts w:ascii="Arial" w:cs="Arial" w:eastAsia="Arial" w:hAnsi="Arial"/>
          <w:sz w:val="22"/>
          <w:szCs w:val="22"/>
        </w:rPr>
        <w:t xml:space="preserve">Four design decisions carry its speed, and each attacks a cost identified by the profile (Table 7).</w:t>
      </w:r>
    </w:p>
    <w:p>
      <w:pPr>
        <w:spacing w:after="120" w:line="276"/>
      </w:pPr>
      <w:r>
        <w:rPr>
          <w:rFonts w:ascii="Arial" w:cs="Arial" w:eastAsia="Arial" w:hAnsi="Arial"/>
          <w:b/>
          <w:bCs/>
          <w:sz w:val="22"/>
          <w:szCs w:val="22"/>
        </w:rPr>
        <w:t xml:space="preserve">The whole GPU stays resident.</w:t>
      </w:r>
      <w:r>
        <w:rPr>
          <w:rFonts w:ascii="Arial" w:cs="Arial" w:eastAsia="Arial" w:hAnsi="Arial"/>
          <w:sz w:val="22"/>
          <w:szCs w:val="22"/>
        </w:rPr>
        <w:t xml:space="preserve"> The kernel starts one block of 256 threads on each of 112 of the H100's 132 processors (streaming multiprocessors), as seven clusters of 16, and keeps them running for the whole plan, so no kernel is ever launched mid-plan. Candidates are drawn inside the kernel from a counter-based random number generator (Salmon et al., 2011), and the elites are selected inside the kernel, so the CPU is not consulted between iterations. Phases are separated by a barrier across the whole GPU, which costs 1.6 µs.</w:t>
      </w:r>
    </w:p>
    <w:p>
      <w:pPr>
        <w:spacing w:after="120" w:line="276"/>
      </w:pPr>
      <w:r>
        <w:rPr>
          <w:rFonts w:ascii="Arial" w:cs="Arial" w:eastAsia="Arial" w:hAnsi="Arial"/>
          <w:b/>
          <w:bCs/>
          <w:sz w:val="22"/>
          <w:szCs w:val="22"/>
        </w:rPr>
        <w:t xml:space="preserve">One small model is spread across a cluster.</w:t>
      </w:r>
      <w:r>
        <w:rPr>
          <w:rFonts w:ascii="Arial" w:cs="Arial" w:eastAsia="Arial" w:hAnsi="Arial"/>
          <w:sz w:val="22"/>
          <w:szCs w:val="22"/>
        </w:rPr>
        <w:t xml:space="preserve"> At one robot the matrices are only 64 to 300 rows tall, too small to occupy a whole GPU one operation at a time. The kernel therefore groups processors into clusters of 16 and splits every layer across a cluster: each processor owns one of the 16 attention heads and a sixteenth of the MLP, computes its share with the H100's tensor-core instructions, and exchanges partial results with its neighbours through distributed shared memory rather than main memory. The cluster barrier that orders those exchanges is on the critical path four times per layer, 3,600 times per plan. Implemented naively, with full memory ordering on every signal, it cost 3.6 µs; with one memory fence and relaxed signals it costs 0.65 µs. Together with a faster GELU, this took about 11 ms off the search.</w:t>
      </w:r>
    </w:p>
    <w:p>
      <w:pPr>
        <w:spacing w:after="120" w:line="276"/>
      </w:pPr>
      <w:r>
        <w:rPr>
          <w:rFonts w:ascii="Arial" w:cs="Arial" w:eastAsia="Arial" w:hAnsi="Arial"/>
          <w:b/>
          <w:bCs/>
          <w:sz w:val="22"/>
          <w:szCs w:val="22"/>
        </w:rPr>
        <w:t xml:space="preserve">Weights stream ahead of use.</w:t>
      </w:r>
      <w:r>
        <w:rPr>
          <w:rFonts w:ascii="Arial" w:cs="Arial" w:eastAsia="Arial" w:hAnsi="Arial"/>
          <w:sz w:val="22"/>
          <w:szCs w:val="22"/>
        </w:rPr>
        <w:t xml:space="preserve"> Because the planner's sequence of operations is fixed, the order in which weights are needed is known before the plan starts. The weights are folded and repacked once on the CPU into 1,472 blocks of 24 KB, already laid out exactly as the tensor-core instructions read them, and each group of threads keeps a two-slot buffer that it refills with an asynchronous bulk copy as soon as it releases a slot. Prefetching therefore continues across operation, layer and iteration boundaries, and the computation almost never waits for weights. No separate thread group is spent on copying: on the H100 a ninth group of threads would cap every thread's registers at 168 instead of 255 and force spills to slower memory.</w:t>
      </w:r>
    </w:p>
    <w:p>
      <w:pPr>
        <w:spacing w:after="120" w:line="276"/>
      </w:pPr>
      <w:r>
        <w:rPr>
          <w:rFonts w:ascii="Arial" w:cs="Arial" w:eastAsia="Arial" w:hAnsi="Arial"/>
          <w:b/>
          <w:bCs/>
          <w:sz w:val="22"/>
          <w:szCs w:val="22"/>
        </w:rPr>
        <w:t xml:space="preserve">No redundant work in the rollout.</w:t>
      </w:r>
      <w:r>
        <w:rPr>
          <w:rFonts w:ascii="Arial" w:cs="Arial" w:eastAsia="Arial" w:hAnsi="Arial"/>
          <w:sz w:val="22"/>
          <w:szCs w:val="22"/>
        </w:rPr>
        <w:t xml:space="preserve"> In the first three of the five rollout steps the predictor's history window is still growing, so the attention keys and values of earlier steps are exactly those already computed; the kernel caches them and computes 9 token rows per candidate instead of 12, with no approximation.</w:t>
      </w:r>
    </w:p>
    <w:p>
      <w:pPr>
        <w:keepNext/>
        <w:spacing w:after="80" w:before="160" w:line="240"/>
      </w:pPr>
      <w:r>
        <w:rPr>
          <w:rFonts w:ascii="Arial" w:cs="Arial" w:eastAsia="Arial" w:hAnsi="Arial"/>
          <w:b/>
          <w:bCs/>
          <w:sz w:val="20"/>
          <w:szCs w:val="20"/>
        </w:rPr>
        <w:t xml:space="preserve">Table 7. </w:t>
      </w:r>
      <w:r>
        <w:rPr>
          <w:rFonts w:ascii="Arial" w:cs="Arial" w:eastAsia="Arial" w:hAnsi="Arial"/>
          <w:sz w:val="20"/>
          <w:szCs w:val="20"/>
        </w:rPr>
        <w:t xml:space="preserve">Key design decisions of the kernel and their measured effect.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72"/>
        <w:gridCol w:w="2805"/>
        <w:gridCol w:w="3048"/>
      </w:tblGrid>
      <w:tr>
        <w:trPr>
          <w:tblHeader/>
        </w:trPr>
        <w:tc>
          <w:tcPr>
            <w:tcW w:type="dxa" w:w="317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decision</w:t>
            </w:r>
          </w:p>
        </w:tc>
        <w:tc>
          <w:tcPr>
            <w:tcW w:type="dxa" w:w="280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cost it removes</w:t>
            </w:r>
          </w:p>
        </w:tc>
        <w:tc>
          <w:tcPr>
            <w:tcW w:type="dxa" w:w="304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measured effect</w:t>
            </w:r>
          </w:p>
        </w:tc>
      </w:tr>
      <w:tr>
        <w:trPr>
          <w:tblHeader w:val="off"/>
        </w:trPr>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persistent kernel, in-kernel sampling and elite selection</w:t>
            </w:r>
          </w:p>
        </w:tc>
        <w:tc>
          <w:tcPr>
            <w:tcW w:type="dxa" w:w="28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kernel launches and CPU round trips between and within iterations</w:t>
            </w:r>
          </w:p>
        </w:tc>
        <w:tc>
          <w:tcPr>
            <w:tcW w:type="dxa" w:w="30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one launch per plan; grid barrier 1.6 µs, empty launch 14 µs</w:t>
            </w:r>
          </w:p>
        </w:tc>
      </w:tr>
      <w:tr>
        <w:trPr>
          <w:tblHeader w:val="off"/>
        </w:trPr>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tensor parallelism across a 16-processor cluster</w:t>
            </w:r>
          </w:p>
        </w:tc>
        <w:tc>
          <w:tcPr>
            <w:tcW w:type="dxa" w:w="28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idle processors at small matrix sizes; traffic through main memory</w:t>
            </w:r>
          </w:p>
        </w:tc>
        <w:tc>
          <w:tcPr>
            <w:tcW w:type="dxa" w:w="30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partial results exchanged on chip through distributed shared memory</w:t>
            </w:r>
          </w:p>
        </w:tc>
      </w:tr>
      <w:tr>
        <w:trPr>
          <w:tblHeader w:val="off"/>
        </w:trPr>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relaxed-ordering cluster barrier</w:t>
            </w:r>
          </w:p>
        </w:tc>
        <w:tc>
          <w:tcPr>
            <w:tcW w:type="dxa" w:w="28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serialised signals on the critical path (3,600 per plan)</w:t>
            </w:r>
          </w:p>
        </w:tc>
        <w:tc>
          <w:tcPr>
            <w:tcW w:type="dxa" w:w="30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3.6 → 0.65 µs per barrier; search 55.3 → 43.8 ms together with a faster GELU</w:t>
            </w:r>
          </w:p>
        </w:tc>
      </w:tr>
      <w:tr>
        <w:trPr>
          <w:tblHeader w:val="off"/>
        </w:trPr>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static weight stream without a copy thread group</w:t>
            </w:r>
          </w:p>
        </w:tc>
        <w:tc>
          <w:tcPr>
            <w:tcW w:type="dxa" w:w="28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waiting for weights; register spills</w:t>
            </w:r>
          </w:p>
        </w:tc>
        <w:tc>
          <w:tcPr>
            <w:tcW w:type="dxa" w:w="30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255 registers per thread instead of 168; search 43.8 → 41.9 ms</w:t>
            </w:r>
          </w:p>
        </w:tc>
      </w:tr>
      <w:tr>
        <w:trPr>
          <w:tblHeader w:val="off"/>
        </w:trPr>
        <w:tc>
          <w:tcPr>
            <w:tcW w:type="dxa" w:w="317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exact reuse of cached attention keys and values</w:t>
            </w:r>
          </w:p>
        </w:tc>
        <w:tc>
          <w:tcPr>
            <w:tcW w:type="dxa" w:w="280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recomputing earlier rollout steps</w:t>
            </w:r>
          </w:p>
        </w:tc>
        <w:tc>
          <w:tcPr>
            <w:tcW w:type="dxa" w:w="304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 instead of 12 token rows per candidate</w:t>
            </w:r>
          </w:p>
        </w:tc>
      </w:tr>
    </w:tbl>
    <w:p>
      <w:pPr>
        <w:spacing w:after="120"/>
      </w:pPr>
    </w:p>
    <w:p>
      <w:pPr>
        <w:spacing w:after="120" w:line="276"/>
      </w:pPr>
      <w:r>
        <w:rPr>
          <w:rFonts w:ascii="Arial" w:cs="Arial" w:eastAsia="Arial" w:hAnsi="Arial"/>
          <w:sz w:val="22"/>
          <w:szCs w:val="22"/>
        </w:rPr>
        <w:t xml:space="preserve">The kernel reached its final speed through a development loop that re-profiled each change. Three further attempts (removing the first accumulation of each matrix chain, prefetching cached keys and values, and prefetching owner operands across barriers) all made it slower by raising register pressure and were discarded.</w:t>
      </w:r>
    </w:p>
    <w:p>
      <w:pPr>
        <w:pStyle w:val="Heading2"/>
        <w:keepNext/>
        <w:spacing w:after="120" w:before="240"/>
      </w:pPr>
      <w:bookmarkStart w:name="_Toc32" w:id="32"/>
      <w:r>
        <w:rPr>
          <w:rFonts w:ascii="Times New Roman" w:cs="Times New Roman" w:eastAsia="Times New Roman" w:hAnsi="Times New Roman"/>
          <w:b/>
          <w:bCs/>
          <w:color w:val="000000"/>
          <w:sz w:val="28"/>
          <w:szCs w:val="28"/>
        </w:rPr>
        <w:t xml:space="preserve">5.4 The encoder inside the same program</w:t>
      </w:r>
      <w:bookmarkEnd w:id="32"/>
    </w:p>
    <w:p>
      <w:pPr>
        <w:spacing w:after="120" w:line="276"/>
      </w:pPr>
      <w:r>
        <w:rPr>
          <w:rFonts w:ascii="Arial" w:cs="Arial" w:eastAsia="Arial" w:hAnsi="Arial"/>
          <w:sz w:val="22"/>
          <w:szCs w:val="22"/>
        </w:rPr>
        <w:t xml:space="preserve">Once the search took about 41 ms, the 6.9 ms PyTorch encoder and the CPU image transform before it became a visible share of a plan. The encoder therefore runs as the first phase of the same kernel. The kernel reads the raw 8-bit camera frame, normalises it and computes the patch embedding as one matrix multiplication. It then runs the 12 ViT layers with an attention computation that never stores the full attention matrix (Dao et al., 2022), and applies the projector. Encoding the observation now takes 1.25 ms (1.34 ms with the goal on an episode's first plan). A plan is one GPU launch from camera frame to action distribution.</w:t>
      </w:r>
    </w:p>
    <w:p>
      <w:pPr>
        <w:pStyle w:val="Heading2"/>
        <w:keepNext/>
        <w:spacing w:after="120" w:before="240"/>
      </w:pPr>
      <w:bookmarkStart w:name="_Toc33" w:id="33"/>
      <w:r>
        <w:rPr>
          <w:rFonts w:ascii="Times New Roman" w:cs="Times New Roman" w:eastAsia="Times New Roman" w:hAnsi="Times New Roman"/>
          <w:b/>
          <w:bCs/>
          <w:color w:val="000000"/>
          <w:sz w:val="28"/>
          <w:szCs w:val="28"/>
        </w:rPr>
        <w:t xml:space="preserve">5.5 Numerical design</w:t>
      </w:r>
      <w:bookmarkEnd w:id="33"/>
    </w:p>
    <w:p>
      <w:pPr>
        <w:spacing w:after="120" w:line="276"/>
      </w:pPr>
      <w:r>
        <w:rPr>
          <w:rFonts w:ascii="Arial" w:cs="Arial" w:eastAsia="Arial" w:hAnsi="Arial"/>
          <w:sz w:val="22"/>
          <w:szCs w:val="22"/>
        </w:rPr>
        <w:t xml:space="preserve">The kernel computes matrix products with 16-bit brain-float (BF16) inputs and 32-bit (FP32) accumulation, keeps the residual stream, normalisation statistics, scores and search statistics in FP32, and uses an accurate approximation of the error function in the GELU activation (Abramowitz &amp; Stegun, 1964). This is the same numerical class as the BF16 arithmetic of the optimised PyTorch baseline, which mixed-precision practice treats as safe for inference (Micikevicius et al., 2018; Kalamkar et al., 2019). The kernel is mathematically equivalent to the reference but not bit-identical, so its acceptance rests on measured error and on closed-loop behaviour (Section 6).</w:t>
      </w:r>
    </w:p>
    <w:p>
      <w:pPr>
        <w:pStyle w:val="Heading2"/>
        <w:keepNext/>
        <w:spacing w:after="120" w:before="240"/>
      </w:pPr>
      <w:bookmarkStart w:name="_Toc34" w:id="34"/>
      <w:r>
        <w:rPr>
          <w:rFonts w:ascii="Times New Roman" w:cs="Times New Roman" w:eastAsia="Times New Roman" w:hAnsi="Times New Roman"/>
          <w:b/>
          <w:bCs/>
          <w:color w:val="000000"/>
          <w:sz w:val="28"/>
          <w:szCs w:val="28"/>
        </w:rPr>
        <w:t xml:space="preserve">5.6 Deployment</w:t>
      </w:r>
      <w:bookmarkEnd w:id="34"/>
    </w:p>
    <w:p>
      <w:pPr>
        <w:spacing w:after="120" w:line="276"/>
      </w:pPr>
      <w:r>
        <w:rPr>
          <w:rFonts w:ascii="Arial" w:cs="Arial" w:eastAsia="Arial" w:hAnsi="Arial"/>
          <w:sz w:val="22"/>
          <w:szCs w:val="22"/>
        </w:rPr>
        <w:t xml:space="preserve">LeWM-MK is deployed as a planner class (</w:t>
      </w:r>
      <w:r>
        <w:rPr>
          <w:rFonts w:ascii="Consolas" w:cs="Consolas" w:eastAsia="Consolas" w:hAnsi="Consolas"/>
          <w:sz w:val="20"/>
          <w:szCs w:val="20"/>
        </w:rPr>
        <w:t xml:space="preserve">MegakernelICEMSolver</w:t>
      </w:r>
      <w:r>
        <w:rPr>
          <w:rFonts w:ascii="Arial" w:cs="Arial" w:eastAsia="Arial" w:hAnsi="Arial"/>
          <w:sz w:val="22"/>
          <w:szCs w:val="22"/>
        </w:rPr>
        <w:t xml:space="preserve">) that plugs into the stable-worldmodel evaluation harness through its configuration system, so a user switches planners by changing one configuration name. The kernel is compiled once for the H100 (</w:t>
      </w:r>
      <w:r>
        <w:rPr>
          <w:rFonts w:ascii="Consolas" w:cs="Consolas" w:eastAsia="Consolas" w:hAnsi="Consolas"/>
          <w:sz w:val="20"/>
          <w:szCs w:val="20"/>
        </w:rPr>
        <w:t xml:space="preserve">sm_90a</w:t>
      </w:r>
      <w:r>
        <w:rPr>
          <w:rFonts w:ascii="Arial" w:cs="Arial" w:eastAsia="Arial" w:hAnsi="Arial"/>
          <w:sz w:val="22"/>
          <w:szCs w:val="22"/>
        </w:rPr>
        <w:t xml:space="preserve">), and builds are content-addressed by the hash of the source so that a stale build can never run. The analysis is deployed as the solution program described in Appendix B.</w:t>
      </w:r>
    </w:p>
    <w:p>
      <w:pPr>
        <w:pStyle w:val="Heading1"/>
        <w:keepNext/>
        <w:pageBreakBefore/>
        <w:spacing w:after="120" w:before="360"/>
      </w:pPr>
      <w:bookmarkStart w:name="_Toc35" w:id="35"/>
      <w:r>
        <w:rPr>
          <w:rFonts w:ascii="Times New Roman" w:cs="Times New Roman" w:eastAsia="Times New Roman" w:hAnsi="Times New Roman"/>
          <w:b/>
          <w:bCs/>
          <w:color w:val="000000"/>
          <w:sz w:val="32"/>
          <w:szCs w:val="32"/>
        </w:rPr>
        <w:t xml:space="preserve">6. Evaluation</w:t>
      </w:r>
      <w:bookmarkEnd w:id="35"/>
    </w:p>
    <w:p>
      <w:pPr>
        <w:pStyle w:val="Heading2"/>
        <w:keepNext/>
        <w:spacing w:after="120" w:before="240"/>
      </w:pPr>
      <w:bookmarkStart w:name="_Toc36" w:id="36"/>
      <w:r>
        <w:rPr>
          <w:rFonts w:ascii="Times New Roman" w:cs="Times New Roman" w:eastAsia="Times New Roman" w:hAnsi="Times New Roman"/>
          <w:b/>
          <w:bCs/>
          <w:color w:val="000000"/>
          <w:sz w:val="28"/>
          <w:szCs w:val="28"/>
        </w:rPr>
        <w:t xml:space="preserve">6.1 Latency</w:t>
      </w:r>
      <w:bookmarkEnd w:id="36"/>
    </w:p>
    <w:p>
      <w:pPr>
        <w:spacing w:after="120" w:line="276"/>
      </w:pPr>
      <w:r>
        <w:rPr>
          <w:rFonts w:ascii="Arial" w:cs="Arial" w:eastAsia="Arial" w:hAnsi="Arial"/>
          <w:sz w:val="22"/>
          <w:szCs w:val="22"/>
        </w:rPr>
        <w:t xml:space="preserve">Table 8 and Figure 5 compare the three systems on the same H100. LeWM-MK computes a plan for one robot in 46.5 ms, 13.4 times faster than the reference planner and 3.9 times faster than the optimised PyTorch planner, which already uses compilation, CUDA Graph replay and BF16 arithmetic. All three confidence intervals are narrow and far apart.</w:t>
      </w:r>
    </w:p>
    <w:p>
      <w:pPr>
        <w:keepNext/>
        <w:spacing w:after="80" w:before="160" w:line="240"/>
      </w:pPr>
      <w:r>
        <w:rPr>
          <w:rFonts w:ascii="Arial" w:cs="Arial" w:eastAsia="Arial" w:hAnsi="Arial"/>
          <w:b/>
          <w:bCs/>
          <w:sz w:val="20"/>
          <w:szCs w:val="20"/>
        </w:rPr>
        <w:t xml:space="preserve">Table 8. </w:t>
      </w:r>
      <w:r>
        <w:rPr>
          <w:rFonts w:ascii="Arial" w:cs="Arial" w:eastAsia="Arial" w:hAnsi="Arial"/>
          <w:sz w:val="20"/>
          <w:szCs w:val="20"/>
        </w:rPr>
        <w:t xml:space="preserve">End-to-end planning latency for one robot on one H100 (ms). Speed-ups are ratios of medians with bootstrap 95% intervals.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2"/>
        <w:gridCol w:w="803"/>
        <w:gridCol w:w="1390"/>
        <w:gridCol w:w="1416"/>
        <w:gridCol w:w="1784"/>
        <w:gridCol w:w="681"/>
        <w:gridCol w:w="1345"/>
      </w:tblGrid>
      <w:tr>
        <w:trPr>
          <w:tblHeader/>
        </w:trPr>
        <w:tc>
          <w:tcPr>
            <w:tcW w:type="dxa" w:w="160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system</w:t>
            </w:r>
          </w:p>
        </w:tc>
        <w:tc>
          <w:tcPr>
            <w:tcW w:type="dxa" w:w="80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plans</w:t>
            </w:r>
          </w:p>
        </w:tc>
        <w:tc>
          <w:tcPr>
            <w:tcW w:type="dxa" w:w="139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median [95% CI]</w:t>
            </w:r>
          </w:p>
        </w:tc>
        <w:tc>
          <w:tcPr>
            <w:tcW w:type="dxa" w:w="1416"/>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90th percentile</w:t>
            </w:r>
          </w:p>
        </w:tc>
        <w:tc>
          <w:tcPr>
            <w:tcW w:type="dxa" w:w="178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interquartile range</w:t>
            </w:r>
          </w:p>
        </w:tc>
        <w:tc>
          <w:tcPr>
            <w:tcW w:type="dxa" w:w="68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step call</w:t>
            </w:r>
          </w:p>
        </w:tc>
        <w:tc>
          <w:tcPr>
            <w:tcW w:type="dxa" w:w="134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speed-up of LeWM-MK</w:t>
            </w:r>
          </w:p>
        </w:tc>
      </w:tr>
      <w:tr>
        <w:trPr>
          <w:tblHeader w:val="off"/>
        </w:trPr>
        <w:tc>
          <w:tcPr>
            <w:tcW w:type="dxa" w:w="16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reference planner</w:t>
            </w:r>
          </w:p>
        </w:tc>
        <w:tc>
          <w:tcPr>
            <w:tcW w:type="dxa" w:w="80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73</w:t>
            </w:r>
          </w:p>
        </w:tc>
        <w:tc>
          <w:tcPr>
            <w:tcW w:type="dxa" w:w="13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622.4 [605.5, 626.7]</w:t>
            </w:r>
          </w:p>
        </w:tc>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673.8</w:t>
            </w:r>
          </w:p>
        </w:tc>
        <w:tc>
          <w:tcPr>
            <w:tcW w:type="dxa" w:w="17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595.9 – 641.7</w:t>
            </w:r>
          </w:p>
        </w:tc>
        <w:tc>
          <w:tcPr>
            <w:tcW w:type="dxa" w:w="68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2.14</w:t>
            </w:r>
          </w:p>
        </w:tc>
        <w:tc>
          <w:tcPr>
            <w:tcW w:type="dxa" w:w="134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13.4× [13.0, 13.5]</w:t>
            </w:r>
          </w:p>
        </w:tc>
      </w:tr>
      <w:tr>
        <w:trPr>
          <w:tblHeader w:val="off"/>
        </w:trPr>
        <w:tc>
          <w:tcPr>
            <w:tcW w:type="dxa" w:w="16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optimised PyTorch planner</w:t>
            </w:r>
          </w:p>
        </w:tc>
        <w:tc>
          <w:tcPr>
            <w:tcW w:type="dxa" w:w="80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72</w:t>
            </w:r>
          </w:p>
        </w:tc>
        <w:tc>
          <w:tcPr>
            <w:tcW w:type="dxa" w:w="13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182.1 [177.3, 185.7]</w:t>
            </w:r>
          </w:p>
        </w:tc>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204.3</w:t>
            </w:r>
          </w:p>
        </w:tc>
        <w:tc>
          <w:tcPr>
            <w:tcW w:type="dxa" w:w="17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175.3 – 195.4</w:t>
            </w:r>
          </w:p>
        </w:tc>
        <w:tc>
          <w:tcPr>
            <w:tcW w:type="dxa" w:w="68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1.51</w:t>
            </w:r>
          </w:p>
        </w:tc>
        <w:tc>
          <w:tcPr>
            <w:tcW w:type="dxa" w:w="134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3.9× [3.8, 4.0]</w:t>
            </w:r>
          </w:p>
        </w:tc>
      </w:tr>
      <w:tr>
        <w:trPr>
          <w:tblHeader w:val="off"/>
        </w:trPr>
        <w:tc>
          <w:tcPr>
            <w:tcW w:type="dxa" w:w="160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LeWM-MK</w:t>
            </w:r>
          </w:p>
        </w:tc>
        <w:tc>
          <w:tcPr>
            <w:tcW w:type="dxa" w:w="80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76</w:t>
            </w:r>
          </w:p>
        </w:tc>
        <w:tc>
          <w:tcPr>
            <w:tcW w:type="dxa" w:w="139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46.5 [46.4, 46.6]</w:t>
            </w:r>
          </w:p>
        </w:tc>
        <w:tc>
          <w:tcPr>
            <w:tcW w:type="dxa" w:w="1416"/>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47.0</w:t>
            </w:r>
          </w:p>
        </w:tc>
        <w:tc>
          <w:tcPr>
            <w:tcW w:type="dxa" w:w="17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46.1 – 46.8</w:t>
            </w:r>
          </w:p>
        </w:tc>
        <w:tc>
          <w:tcPr>
            <w:tcW w:type="dxa" w:w="68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bCs/>
                <w:sz w:val="17"/>
                <w:szCs w:val="17"/>
              </w:rPr>
              <w:t xml:space="preserve">0.82</w:t>
            </w:r>
          </w:p>
        </w:tc>
        <w:tc>
          <w:tcPr>
            <w:tcW w:type="dxa" w:w="134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7"/>
                <w:szCs w:val="17"/>
              </w:rPr>
              <w:t xml:space="preserve">—</w:t>
            </w:r>
          </w:p>
        </w:tc>
      </w:tr>
    </w:tbl>
    <w:p>
      <w:pPr>
        <w:spacing w:after="120"/>
      </w:pPr>
    </w:p>
    <w:p>
      <w:pPr>
        <w:keepNext/>
        <w:spacing w:after="60" w:before="120"/>
        <w:jc w:val="center"/>
      </w:pPr>
      <w:r>
        <w:drawing>
          <wp:inline distT="0" distB="0" distL="0" distR="0">
            <wp:extent cx="5762625" cy="1571625"/>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1571625"/>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5. </w:t>
      </w:r>
      <w:r>
        <w:rPr>
          <w:rFonts w:ascii="Arial" w:cs="Arial" w:eastAsia="Arial" w:hAnsi="Arial"/>
          <w:sz w:val="20"/>
          <w:szCs w:val="20"/>
        </w:rPr>
        <w:t xml:space="preserve">End-to-end planning latency of the three systems, log scale. Boxes span the interquartile range with the median as a vertical line; whiskers extend to the most extreme plan within 1.5 interquartile ranges; points beyond them are plotted individually.</w:t>
      </w:r>
    </w:p>
    <w:p>
      <w:pPr>
        <w:spacing w:after="120" w:line="276"/>
      </w:pPr>
      <w:r>
        <w:rPr>
          <w:rFonts w:ascii="Arial" w:cs="Arial" w:eastAsia="Arial" w:hAnsi="Arial"/>
          <w:sz w:val="22"/>
          <w:szCs w:val="22"/>
        </w:rPr>
        <w:t xml:space="preserve">For a controller, predictability matters as much as speed. The reference planner's plans spread over 200 ms and the optimised PyTorch planner's over 150 ms, including a separate group of plans near 115 ms that appear as outliers in Figure 5. LeWM-MK's interquartile range is 0.7 ms wide, and its 90th percentile is within 0.6 ms of its median. One of its 76 plans took 458 ms, a one-off in a single process that the data do not explain; it is reported and kept. At the median, a LeWM-MK plan fits inside the 50 ms period of a 20 Hz control loop, and comfortably inside the 100 ms of a 10 Hz loop. The calls that only execute a planned action also became cheaper (0.82 ms), because the fused pipeline no longer runs the CPU image transform on every call.</w:t>
      </w:r>
    </w:p>
    <w:p>
      <w:pPr>
        <w:pStyle w:val="Heading2"/>
        <w:keepNext/>
        <w:spacing w:after="120" w:before="240"/>
      </w:pPr>
      <w:bookmarkStart w:name="_Toc37" w:id="37"/>
      <w:r>
        <w:rPr>
          <w:rFonts w:ascii="Times New Roman" w:cs="Times New Roman" w:eastAsia="Times New Roman" w:hAnsi="Times New Roman"/>
          <w:b/>
          <w:bCs/>
          <w:color w:val="000000"/>
          <w:sz w:val="28"/>
          <w:szCs w:val="28"/>
        </w:rPr>
        <w:t xml:space="preserve">6.2 The new compute profile</w:t>
      </w:r>
      <w:bookmarkEnd w:id="37"/>
    </w:p>
    <w:p>
      <w:pPr>
        <w:spacing w:after="120" w:line="276"/>
      </w:pPr>
      <w:r>
        <w:rPr>
          <w:rFonts w:ascii="Arial" w:cs="Arial" w:eastAsia="Arial" w:hAnsi="Arial"/>
          <w:sz w:val="22"/>
          <w:szCs w:val="22"/>
        </w:rPr>
        <w:t xml:space="preserve">Figure 6 shows the profile before and after. Of LeWM-MK's 46.5 ms, the search takes 41.3 ms (89%), the encoder 1.3 ms (3%) and everything outside the kernel 3.9 ms (8%). The redundant encoding is gone, the CPU synchronisation is gone, and the remaining search costs 46 µs per layer evaluation against 409 µs in the reference, nine times less.</w:t>
      </w:r>
    </w:p>
    <w:p>
      <w:pPr>
        <w:keepNext/>
        <w:spacing w:after="60" w:before="120"/>
        <w:jc w:val="center"/>
      </w:pPr>
      <w:r>
        <w:drawing>
          <wp:inline distT="0" distB="0" distL="0" distR="0">
            <wp:extent cx="5762625" cy="2743200"/>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74320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6. </w:t>
      </w:r>
      <w:r>
        <w:rPr>
          <w:rFonts w:ascii="Arial" w:cs="Arial" w:eastAsia="Arial" w:hAnsi="Arial"/>
          <w:sz w:val="20"/>
          <w:szCs w:val="20"/>
        </w:rPr>
        <w:t xml:space="preserve">Compute profile of one plan before (reference planner) and after (LeWM-MK), by stage. Medians; stages without a direct measurement are attributed by difference (Section 3.5).</w:t>
      </w:r>
    </w:p>
    <w:p>
      <w:pPr>
        <w:spacing w:after="120" w:line="276"/>
      </w:pPr>
      <w:r>
        <w:rPr>
          <w:rFonts w:ascii="Arial" w:cs="Arial" w:eastAsia="Arial" w:hAnsi="Arial"/>
          <w:sz w:val="22"/>
          <w:szCs w:val="22"/>
        </w:rPr>
        <w:t xml:space="preserve">What limits the search now is the depth of the chain itself. The measured synchronisation primitives account for about 2.8 ms of the 41.3 ms (four cluster barriers per layer at 0.68 µs, and the grid barriers between phases at 1.6 µs), or 7%. The rest is the latency of the tensor-core instruction chains and the work between them at small matrix sizes. The weight stream almost never waits. LeWM-MK has therefore moved the planner from an overhead-bound regime into one bounded by the latency of its own dependent arithmetic, which is the regime a single robot's planning problem imposes.</w:t>
      </w:r>
    </w:p>
    <w:p>
      <w:pPr>
        <w:pStyle w:val="Heading2"/>
        <w:keepNext/>
        <w:spacing w:after="120" w:before="240"/>
      </w:pPr>
      <w:bookmarkStart w:name="_Toc38" w:id="38"/>
      <w:r>
        <w:rPr>
          <w:rFonts w:ascii="Times New Roman" w:cs="Times New Roman" w:eastAsia="Times New Roman" w:hAnsi="Times New Roman"/>
          <w:b/>
          <w:bCs/>
          <w:color w:val="000000"/>
          <w:sz w:val="28"/>
          <w:szCs w:val="28"/>
        </w:rPr>
        <w:t xml:space="preserve">6.3 Task success</w:t>
      </w:r>
      <w:bookmarkEnd w:id="38"/>
    </w:p>
    <w:p>
      <w:pPr>
        <w:spacing w:after="120" w:line="276"/>
      </w:pPr>
      <w:r>
        <w:rPr>
          <w:rFonts w:ascii="Arial" w:cs="Arial" w:eastAsia="Arial" w:hAnsi="Arial"/>
          <w:sz w:val="22"/>
          <w:szCs w:val="22"/>
        </w:rPr>
        <w:t xml:space="preserve">Faster planning must not change what the robot achieves. Figure 7 and Table 9 give the evidence on the 300 paired Push-T episodes. The three systems solve 261, 261 and 260 episodes, and their Wilson intervals overlap almost completely. LeWM-MK and the reference planner disagree on 39 of the 300 episodes: LeWM-MK solves 19 that the reference fails, and fails 20 that the reference solves. The paired difference is −0.3 percentage points with a 95% interval of −4.3 to +3.7, and the exact McNemar test gives p = 1.00. The reference's success rate of 87% is below the 96% that LeWM's authors report for Push-T; we used the evaluation configuration released with the code and did not investigate the difference, which applies equally to every system.</w:t>
      </w:r>
    </w:p>
    <w:p>
      <w:pPr>
        <w:keepNext/>
        <w:spacing w:after="60" w:before="120"/>
        <w:jc w:val="center"/>
      </w:pPr>
      <w:r>
        <w:drawing>
          <wp:inline distT="0" distB="0" distL="0" distR="0">
            <wp:extent cx="5762625" cy="1657350"/>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1657350"/>
                    </a:xfrm>
                    <a:prstGeom prst="rect">
                      <a:avLst/>
                    </a:prstGeom>
                  </pic:spPr>
                </pic:pic>
              </a:graphicData>
            </a:graphic>
          </wp:inline>
        </w:drawing>
      </w:r>
    </w:p>
    <w:p>
      <w:pPr>
        <w:spacing w:after="200" w:line="240"/>
        <w:jc w:val="left"/>
      </w:pPr>
      <w:r>
        <w:rPr>
          <w:rFonts w:ascii="Arial" w:cs="Arial" w:eastAsia="Arial" w:hAnsi="Arial"/>
          <w:b/>
          <w:bCs/>
          <w:sz w:val="20"/>
          <w:szCs w:val="20"/>
        </w:rPr>
        <w:t xml:space="preserve">Figure 7. </w:t>
      </w:r>
      <w:r>
        <w:rPr>
          <w:rFonts w:ascii="Arial" w:cs="Arial" w:eastAsia="Arial" w:hAnsi="Arial"/>
          <w:sz w:val="20"/>
          <w:szCs w:val="20"/>
        </w:rPr>
        <w:t xml:space="preserve">Push-T success of the three systems on the same 300 episodes, with Wilson 95% intervals. The dashed line is the reference planner.</w:t>
      </w:r>
    </w:p>
    <w:p>
      <w:pPr>
        <w:keepNext/>
        <w:spacing w:after="80" w:before="160" w:line="240"/>
      </w:pPr>
      <w:r>
        <w:rPr>
          <w:rFonts w:ascii="Arial" w:cs="Arial" w:eastAsia="Arial" w:hAnsi="Arial"/>
          <w:b/>
          <w:bCs/>
          <w:sz w:val="20"/>
          <w:szCs w:val="20"/>
        </w:rPr>
        <w:t xml:space="preserve">Table 9. </w:t>
      </w:r>
      <w:r>
        <w:rPr>
          <w:rFonts w:ascii="Arial" w:cs="Arial" w:eastAsia="Arial" w:hAnsi="Arial"/>
          <w:sz w:val="20"/>
          <w:szCs w:val="20"/>
        </w:rPr>
        <w:t xml:space="preserve">Paired comparison of task success on the 300 episodes. Wins and losses count the episodes solved by only one of the two systems; the interval is a paired bootstrap (10,000 resamples); p is the exact McNemar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92"/>
        <w:gridCol w:w="1751"/>
        <w:gridCol w:w="2253"/>
        <w:gridCol w:w="1257"/>
        <w:gridCol w:w="870"/>
      </w:tblGrid>
      <w:tr>
        <w:trPr>
          <w:tblHeader/>
        </w:trPr>
        <w:tc>
          <w:tcPr>
            <w:tcW w:type="dxa" w:w="2892"/>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comparison</w:t>
            </w:r>
          </w:p>
        </w:tc>
        <w:tc>
          <w:tcPr>
            <w:tcW w:type="dxa" w:w="17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successes</w:t>
            </w:r>
          </w:p>
        </w:tc>
        <w:tc>
          <w:tcPr>
            <w:tcW w:type="dxa" w:w="225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difference (points) [95% CI]</w:t>
            </w:r>
          </w:p>
        </w:tc>
        <w:tc>
          <w:tcPr>
            <w:tcW w:type="dxa" w:w="125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wins / losses</w:t>
            </w:r>
          </w:p>
        </w:tc>
        <w:tc>
          <w:tcPr>
            <w:tcW w:type="dxa" w:w="87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p</w:t>
            </w:r>
          </w:p>
        </w:tc>
      </w:tr>
      <w:tr>
        <w:trPr>
          <w:tblHeader w:val="off"/>
        </w:trPr>
        <w:tc>
          <w:tcPr>
            <w:tcW w:type="dxa" w:w="289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LeWM-MK vs reference</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260 vs 261</w:t>
            </w:r>
          </w:p>
        </w:tc>
        <w:tc>
          <w:tcPr>
            <w:tcW w:type="dxa" w:w="22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 [−4.3, +3.7]</w:t>
            </w:r>
          </w:p>
        </w:tc>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19 / 20</w:t>
            </w:r>
          </w:p>
        </w:tc>
        <w:tc>
          <w:tcPr>
            <w:tcW w:type="dxa" w:w="87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r>
        <w:trPr>
          <w:tblHeader w:val="off"/>
        </w:trPr>
        <w:tc>
          <w:tcPr>
            <w:tcW w:type="dxa" w:w="289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optimised PyTorch vs reference</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261 vs 261</w:t>
            </w:r>
          </w:p>
        </w:tc>
        <w:tc>
          <w:tcPr>
            <w:tcW w:type="dxa" w:w="22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 [−4.0, +4.0]</w:t>
            </w:r>
          </w:p>
        </w:tc>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18 / 18</w:t>
            </w:r>
          </w:p>
        </w:tc>
        <w:tc>
          <w:tcPr>
            <w:tcW w:type="dxa" w:w="87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r>
        <w:trPr>
          <w:tblHeader w:val="off"/>
        </w:trPr>
        <w:tc>
          <w:tcPr>
            <w:tcW w:type="dxa" w:w="2892"/>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LeWM-MK vs optimised PyTorch</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260 vs 261</w:t>
            </w:r>
          </w:p>
        </w:tc>
        <w:tc>
          <w:tcPr>
            <w:tcW w:type="dxa" w:w="225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 [−4.0, +3.3]</w:t>
            </w:r>
          </w:p>
        </w:tc>
        <w:tc>
          <w:tcPr>
            <w:tcW w:type="dxa" w:w="125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16 / 17</w:t>
            </w:r>
          </w:p>
        </w:tc>
        <w:tc>
          <w:tcPr>
            <w:tcW w:type="dxa" w:w="87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1.00</w:t>
            </w:r>
          </w:p>
        </w:tc>
      </w:tr>
    </w:tbl>
    <w:p>
      <w:pPr>
        <w:spacing w:after="120"/>
      </w:pPr>
    </w:p>
    <w:p>
      <w:pPr>
        <w:spacing w:after="120" w:line="276"/>
      </w:pPr>
      <w:r>
        <w:rPr>
          <w:rFonts w:ascii="Arial" w:cs="Arial" w:eastAsia="Arial" w:hAnsi="Arial"/>
          <w:sz w:val="22"/>
          <w:szCs w:val="22"/>
        </w:rPr>
        <w:t xml:space="preserve">The 39 disagreements are expected. Planning is a randomised search, and an episode that sits near the boundary between success and failure is decided by which candidates happen to be drawn; LeWM-MK draws its candidates from its own random number generator, so it redraws those episodes. The optimised PyTorch planner, which also differs from the reference only in its search and arithmetic, disagrees with it on 36. The evaluation detects differences of about 6 percentage points at 80% power. Within that resolution, LeWM-MK does not change task success.</w:t>
      </w:r>
    </w:p>
    <w:p>
      <w:pPr>
        <w:pStyle w:val="Heading2"/>
        <w:keepNext/>
        <w:spacing w:after="120" w:before="240"/>
      </w:pPr>
      <w:bookmarkStart w:name="_Toc39" w:id="39"/>
      <w:r>
        <w:rPr>
          <w:rFonts w:ascii="Times New Roman" w:cs="Times New Roman" w:eastAsia="Times New Roman" w:hAnsi="Times New Roman"/>
          <w:b/>
          <w:bCs/>
          <w:color w:val="000000"/>
          <w:sz w:val="28"/>
          <w:szCs w:val="28"/>
        </w:rPr>
        <w:t xml:space="preserve">6.4 Numerical fidelity</w:t>
      </w:r>
      <w:bookmarkEnd w:id="39"/>
    </w:p>
    <w:p>
      <w:pPr>
        <w:spacing w:after="120" w:line="276"/>
      </w:pPr>
      <w:r>
        <w:rPr>
          <w:rFonts w:ascii="Arial" w:cs="Arial" w:eastAsia="Arial" w:hAnsi="Arial"/>
          <w:sz w:val="22"/>
          <w:szCs w:val="22"/>
        </w:rPr>
        <w:t xml:space="preserve">Table 10 compares LeWM-MK's arithmetic with FP32 on identical inputs. Across eight scoring cases its largest relative error is 0.06% to 0.32%, against 0.05% to 0.40% for the optimised PyTorch planner's BF16 arithmetic, and the two agree with FP32 on 27 to 30 and 28 to 30 of the 30 best candidates respectively. The fused encoder is closer to FP32 than PyTorch's own BF16 encoder: its embeddings differ by 0.41% (relative L2 norm) against 0.52%, and plans scored from its embeddings stay within 0.32% of FP32 with identical top-30 sets.</w:t>
      </w:r>
    </w:p>
    <w:p>
      <w:pPr>
        <w:keepNext/>
        <w:spacing w:after="80" w:before="160" w:line="240"/>
      </w:pPr>
      <w:r>
        <w:rPr>
          <w:rFonts w:ascii="Arial" w:cs="Arial" w:eastAsia="Arial" w:hAnsi="Arial"/>
          <w:b/>
          <w:bCs/>
          <w:sz w:val="20"/>
          <w:szCs w:val="20"/>
        </w:rPr>
        <w:t xml:space="preserve">Table 10. </w:t>
      </w:r>
      <w:r>
        <w:rPr>
          <w:rFonts w:ascii="Arial" w:cs="Arial" w:eastAsia="Arial" w:hAnsi="Arial"/>
          <w:sz w:val="20"/>
          <w:szCs w:val="20"/>
        </w:rPr>
        <w:t xml:space="preserve">Numerical agreement with FP32 on identical inputs (one H100).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358"/>
        <w:gridCol w:w="1830"/>
        <w:gridCol w:w="1837"/>
      </w:tblGrid>
      <w:tr>
        <w:trPr>
          <w:tblHeader/>
        </w:trPr>
        <w:tc>
          <w:tcPr>
            <w:tcW w:type="dxa" w:w="5358"/>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check</w:t>
            </w:r>
          </w:p>
        </w:tc>
        <w:tc>
          <w:tcPr>
            <w:tcW w:type="dxa" w:w="183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optimised PyTorch (BF16)</w:t>
            </w:r>
          </w:p>
        </w:tc>
        <w:tc>
          <w:tcPr>
            <w:tcW w:type="dxa" w:w="183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LeWM-MK</w:t>
            </w:r>
          </w:p>
        </w:tc>
      </w:tr>
      <w:tr>
        <w:trPr>
          <w:tblHeader w:val="off"/>
        </w:trPr>
        <w:tc>
          <w:tcPr>
            <w:tcW w:type="dxa" w:w="53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scoring, maximum relative error (8 cases)</w:t>
            </w:r>
          </w:p>
        </w:tc>
        <w:tc>
          <w:tcPr>
            <w:tcW w:type="dxa" w:w="1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0.05% – 0.40%</w:t>
            </w:r>
          </w:p>
        </w:tc>
        <w:tc>
          <w:tcPr>
            <w:tcW w:type="dxa" w:w="183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0.06% – 0.32%</w:t>
            </w:r>
          </w:p>
        </w:tc>
      </w:tr>
      <w:tr>
        <w:trPr>
          <w:tblHeader w:val="off"/>
        </w:trPr>
        <w:tc>
          <w:tcPr>
            <w:tcW w:type="dxa" w:w="53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scoring, agreement of the 30 best candidates</w:t>
            </w:r>
          </w:p>
        </w:tc>
        <w:tc>
          <w:tcPr>
            <w:tcW w:type="dxa" w:w="1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28 – 30 of 30</w:t>
            </w:r>
          </w:p>
        </w:tc>
        <w:tc>
          <w:tcPr>
            <w:tcW w:type="dxa" w:w="183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27 – 30 of 30</w:t>
            </w:r>
          </w:p>
        </w:tc>
      </w:tr>
      <w:tr>
        <w:trPr>
          <w:tblHeader w:val="off"/>
        </w:trPr>
        <w:tc>
          <w:tcPr>
            <w:tcW w:type="dxa" w:w="53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encoder embedding, relative L2 error (32 frames)</w:t>
            </w:r>
          </w:p>
        </w:tc>
        <w:tc>
          <w:tcPr>
            <w:tcW w:type="dxa" w:w="1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0.52%</w:t>
            </w:r>
          </w:p>
        </w:tc>
        <w:tc>
          <w:tcPr>
            <w:tcW w:type="dxa" w:w="183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0.41%</w:t>
            </w:r>
          </w:p>
        </w:tc>
      </w:tr>
      <w:tr>
        <w:trPr>
          <w:tblHeader w:val="off"/>
        </w:trPr>
        <w:tc>
          <w:tcPr>
            <w:tcW w:type="dxa" w:w="5358"/>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scoring from encoder embeddings, maximum relative error / top-30 (6 cases)</w:t>
            </w:r>
          </w:p>
        </w:tc>
        <w:tc>
          <w:tcPr>
            <w:tcW w:type="dxa" w:w="183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t>
            </w:r>
          </w:p>
        </w:tc>
        <w:tc>
          <w:tcPr>
            <w:tcW w:type="dxa" w:w="183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0.32% / 30 of 30</w:t>
            </w:r>
          </w:p>
        </w:tc>
      </w:tr>
    </w:tbl>
    <w:p>
      <w:pPr>
        <w:spacing w:after="120"/>
      </w:pPr>
    </w:p>
    <w:p>
      <w:pPr>
        <w:pStyle w:val="Heading2"/>
        <w:keepNext/>
        <w:spacing w:after="120" w:before="240"/>
      </w:pPr>
      <w:bookmarkStart w:name="_Toc40" w:id="40"/>
      <w:r>
        <w:rPr>
          <w:rFonts w:ascii="Times New Roman" w:cs="Times New Roman" w:eastAsia="Times New Roman" w:hAnsi="Times New Roman"/>
          <w:b/>
          <w:bCs/>
          <w:color w:val="000000"/>
          <w:sz w:val="28"/>
          <w:szCs w:val="28"/>
        </w:rPr>
        <w:t xml:space="preserve">6.5 Validating the scaling model</w:t>
      </w:r>
      <w:bookmarkEnd w:id="40"/>
    </w:p>
    <w:p>
      <w:pPr>
        <w:spacing w:after="120" w:line="276"/>
      </w:pPr>
      <w:r>
        <w:rPr>
          <w:rFonts w:ascii="Arial" w:cs="Arial" w:eastAsia="Arial" w:hAnsi="Arial"/>
          <w:sz w:val="22"/>
          <w:szCs w:val="22"/>
        </w:rPr>
        <w:t xml:space="preserve">The scaling model of Section 4.3 made a prediction that the probes can test. Table 11 compares the predicted and observed value of iCEM in the two execution regimes.</w:t>
      </w:r>
    </w:p>
    <w:p>
      <w:pPr>
        <w:keepNext/>
        <w:spacing w:after="80" w:before="160" w:line="240"/>
      </w:pPr>
      <w:r>
        <w:rPr>
          <w:rFonts w:ascii="Arial" w:cs="Arial" w:eastAsia="Arial" w:hAnsi="Arial"/>
          <w:b/>
          <w:bCs/>
          <w:sz w:val="20"/>
          <w:szCs w:val="20"/>
        </w:rPr>
        <w:t xml:space="preserve">Table 11. </w:t>
      </w:r>
      <w:r>
        <w:rPr>
          <w:rFonts w:ascii="Arial" w:cs="Arial" w:eastAsia="Arial" w:hAnsi="Arial"/>
          <w:sz w:val="20"/>
          <w:szCs w:val="20"/>
        </w:rPr>
        <w:t xml:space="preserve">Predicted and observed speed-up of iCEM over CEM (end-to-end medians of the probes, encoder in PyTorch in both kernel probes).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60"/>
        <w:gridCol w:w="1533"/>
        <w:gridCol w:w="1910"/>
        <w:gridCol w:w="1721"/>
      </w:tblGrid>
      <w:tr>
        <w:trPr>
          <w:tblHeader/>
        </w:trPr>
        <w:tc>
          <w:tcPr>
            <w:tcW w:type="dxa" w:w="386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execution</w:t>
            </w:r>
          </w:p>
        </w:tc>
        <w:tc>
          <w:tcPr>
            <w:tcW w:type="dxa" w:w="153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fixed share of a scoring call</w:t>
            </w:r>
          </w:p>
        </w:tc>
        <w:tc>
          <w:tcPr>
            <w:tcW w:type="dxa" w:w="1910"/>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predicted</w:t>
            </w:r>
          </w:p>
        </w:tc>
        <w:tc>
          <w:tcPr>
            <w:tcW w:type="dxa" w:w="172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observed</w:t>
            </w:r>
          </w:p>
        </w:tc>
      </w:tr>
      <w:tr>
        <w:trPr>
          <w:tblHeader w:val="off"/>
        </w:trPr>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PyTorch eager (377.0 vs 410.2 ms)</w:t>
            </w:r>
          </w:p>
        </w:tc>
        <w:tc>
          <w:tcPr>
            <w:tcW w:type="dxa" w:w="153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99%</w:t>
            </w:r>
          </w:p>
        </w:tc>
        <w:tc>
          <w:tcPr>
            <w:tcW w:type="dxa" w:w="1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1.01×</w:t>
            </w:r>
          </w:p>
        </w:tc>
        <w:tc>
          <w:tcPr>
            <w:tcW w:type="dxa" w:w="17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0.92×</w:t>
            </w:r>
          </w:p>
        </w:tc>
      </w:tr>
      <w:tr>
        <w:trPr>
          <w:tblHeader w:val="off"/>
        </w:trPr>
        <w:tc>
          <w:tcPr>
            <w:tcW w:type="dxa" w:w="386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LeWM-MK search (82.1 vs 59.3 ms)</w:t>
            </w:r>
          </w:p>
        </w:tc>
        <w:tc>
          <w:tcPr>
            <w:tcW w:type="dxa" w:w="153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49%</w:t>
            </w:r>
          </w:p>
        </w:tc>
        <w:tc>
          <w:tcPr>
            <w:tcW w:type="dxa" w:w="1910"/>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1.54×</w:t>
            </w:r>
          </w:p>
        </w:tc>
        <w:tc>
          <w:tcPr>
            <w:tcW w:type="dxa" w:w="172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1.39×</w:t>
            </w:r>
          </w:p>
        </w:tc>
      </w:tr>
    </w:tbl>
    <w:p>
      <w:pPr>
        <w:spacing w:after="120"/>
      </w:pPr>
    </w:p>
    <w:p>
      <w:pPr>
        <w:spacing w:after="120" w:line="276"/>
      </w:pPr>
      <w:r>
        <w:rPr>
          <w:rFonts w:ascii="Arial" w:cs="Arial" w:eastAsia="Arial" w:hAnsi="Arial"/>
          <w:sz w:val="22"/>
          <w:szCs w:val="22"/>
        </w:rPr>
        <w:t xml:space="preserve">The model gets the qualitative answer right in both regimes: no gain where the cost is fixed, a substantial gain where it is not. It overestimates both, by about 0.1, because it ignores costs that do not depend on the number of candidates: iCEM's elite bookkeeping, and inside the kernel the 30-iteration chain and the 64-row tiles that are partly empty at 60 candidates. As an analytic tool it did what was needed. It explained why the sample-efficient algorithm had appeared useless, and it predicted that it would pay once the overhead was removed.</w:t>
      </w:r>
    </w:p>
    <w:p>
      <w:pPr>
        <w:pStyle w:val="Heading1"/>
        <w:keepNext/>
        <w:pageBreakBefore/>
        <w:spacing w:after="120" w:before="360"/>
      </w:pPr>
      <w:bookmarkStart w:name="_Toc41" w:id="41"/>
      <w:r>
        <w:rPr>
          <w:rFonts w:ascii="Times New Roman" w:cs="Times New Roman" w:eastAsia="Times New Roman" w:hAnsi="Times New Roman"/>
          <w:b/>
          <w:bCs/>
          <w:color w:val="000000"/>
          <w:sz w:val="32"/>
          <w:szCs w:val="32"/>
        </w:rPr>
        <w:t xml:space="preserve">7. Discussion</w:t>
      </w:r>
      <w:bookmarkEnd w:id="41"/>
    </w:p>
    <w:p>
      <w:pPr>
        <w:pStyle w:val="Heading2"/>
        <w:keepNext/>
        <w:spacing w:after="120" w:before="240"/>
      </w:pPr>
      <w:bookmarkStart w:name="_Toc42" w:id="42"/>
      <w:r>
        <w:rPr>
          <w:rFonts w:ascii="Times New Roman" w:cs="Times New Roman" w:eastAsia="Times New Roman" w:hAnsi="Times New Roman"/>
          <w:b/>
          <w:bCs/>
          <w:color w:val="000000"/>
          <w:sz w:val="28"/>
          <w:szCs w:val="28"/>
        </w:rPr>
        <w:t xml:space="preserve">7.1 Were the objectives met?</w:t>
      </w:r>
      <w:bookmarkEnd w:id="42"/>
    </w:p>
    <w:p>
      <w:pPr>
        <w:spacing w:after="120" w:line="276"/>
      </w:pPr>
      <w:r>
        <w:rPr>
          <w:rFonts w:ascii="Arial" w:cs="Arial" w:eastAsia="Arial" w:hAnsi="Arial"/>
          <w:b/>
          <w:bCs/>
          <w:sz w:val="22"/>
          <w:szCs w:val="22"/>
        </w:rPr>
        <w:t xml:space="preserve">O1 (profile).</w:t>
      </w:r>
      <w:r>
        <w:rPr>
          <w:rFonts w:ascii="Arial" w:cs="Arial" w:eastAsia="Arial" w:hAnsi="Arial"/>
          <w:sz w:val="22"/>
          <w:szCs w:val="22"/>
        </w:rPr>
        <w:t xml:space="preserve"> Yes. The profile located the reference planner's time precisely: a third in redundant image encoding, most of the rest in a search whose cost is 99% fixed overhead per call, and 7% in synchronisation with the CPU. The arithmetic the planner exists to perform accounts for a small fraction of its time.</w:t>
      </w:r>
    </w:p>
    <w:p>
      <w:pPr>
        <w:spacing w:after="120" w:line="276"/>
      </w:pPr>
      <w:r>
        <w:rPr>
          <w:rFonts w:ascii="Arial" w:cs="Arial" w:eastAsia="Arial" w:hAnsi="Arial"/>
          <w:b/>
          <w:bCs/>
          <w:sz w:val="22"/>
          <w:szCs w:val="22"/>
        </w:rPr>
        <w:t xml:space="preserve">O2 (design and implement).</w:t>
      </w:r>
      <w:r>
        <w:rPr>
          <w:rFonts w:ascii="Arial" w:cs="Arial" w:eastAsia="Arial" w:hAnsi="Arial"/>
          <w:sz w:val="22"/>
          <w:szCs w:val="22"/>
        </w:rPr>
        <w:t xml:space="preserve"> Yes. LeWM-MK removes each bottleneck the profile identified, with the trained model unchanged and the planner's horizon, iteration count and elite count unchanged. The one algorithmic change, iCEM's shrinking population, was adopted because the profile showed when it would pay.</w:t>
      </w:r>
    </w:p>
    <w:p>
      <w:pPr>
        <w:spacing w:after="120" w:line="276"/>
      </w:pPr>
      <w:r>
        <w:rPr>
          <w:rFonts w:ascii="Arial" w:cs="Arial" w:eastAsia="Arial" w:hAnsi="Arial"/>
          <w:b/>
          <w:bCs/>
          <w:sz w:val="22"/>
          <w:szCs w:val="22"/>
        </w:rPr>
        <w:t xml:space="preserve">O3 (evaluate).</w:t>
      </w:r>
      <w:r>
        <w:rPr>
          <w:rFonts w:ascii="Arial" w:cs="Arial" w:eastAsia="Arial" w:hAnsi="Arial"/>
          <w:sz w:val="22"/>
          <w:szCs w:val="22"/>
        </w:rPr>
        <w:t xml:space="preserve"> Yes. One plan for one robot takes 46.5 ms against 622.4 ms for the reference (13.4×) and 182.1 ms for the optimised PyTorch planner (3.9×), with a 90th percentile of 47.0 ms. On 300 paired episodes task success does not change detectably (−0.3 points, 95% CI −4.3 to +3.7), and the kernel's numerical error matches that of the accepted BF16 arithmetic.</w:t>
      </w:r>
    </w:p>
    <w:p>
      <w:pPr>
        <w:spacing w:after="120" w:line="276"/>
      </w:pPr>
      <w:r>
        <w:rPr>
          <w:rFonts w:ascii="Arial" w:cs="Arial" w:eastAsia="Arial" w:hAnsi="Arial"/>
          <w:b/>
          <w:bCs/>
          <w:sz w:val="22"/>
          <w:szCs w:val="22"/>
        </w:rPr>
        <w:t xml:space="preserve">O4 (deploy).</w:t>
      </w:r>
      <w:r>
        <w:rPr>
          <w:rFonts w:ascii="Arial" w:cs="Arial" w:eastAsia="Arial" w:hAnsi="Arial"/>
          <w:sz w:val="22"/>
          <w:szCs w:val="22"/>
        </w:rPr>
        <w:t xml:space="preserve"> Yes. The planner plugs into the existing harness by configuration name, and the solution program regenerates every result in this report from the collected data (Appendix B).</w:t>
      </w:r>
    </w:p>
    <w:p>
      <w:pPr>
        <w:pStyle w:val="Heading2"/>
        <w:keepNext/>
        <w:spacing w:after="120" w:before="240"/>
      </w:pPr>
      <w:bookmarkStart w:name="_Toc43" w:id="43"/>
      <w:r>
        <w:rPr>
          <w:rFonts w:ascii="Times New Roman" w:cs="Times New Roman" w:eastAsia="Times New Roman" w:hAnsi="Times New Roman"/>
          <w:b/>
          <w:bCs/>
          <w:color w:val="000000"/>
          <w:sz w:val="28"/>
          <w:szCs w:val="28"/>
        </w:rPr>
        <w:t xml:space="preserve">7.2 Why the solution works</w:t>
      </w:r>
      <w:bookmarkEnd w:id="43"/>
    </w:p>
    <w:p>
      <w:pPr>
        <w:spacing w:after="120" w:line="276"/>
      </w:pPr>
      <w:r>
        <w:rPr>
          <w:rFonts w:ascii="Arial" w:cs="Arial" w:eastAsia="Arial" w:hAnsi="Arial"/>
          <w:sz w:val="22"/>
          <w:szCs w:val="22"/>
        </w:rPr>
        <w:t xml:space="preserve">The planner of a small world model is an unusual workload. Its model is tiny and its computation is deep: a few hundred billion floating-point operations per plan, spread across 900 dependent steps of 64 to 300 rows each. Neither of the quantities by which AI inference is usually optimised, the amount of arithmetic and the amount of memory traffic, limits it. What limits it is the fixed cost paid at every step: a kernel launch, a line of Python, a trip to the CPU, a round trip through main memory. Lower precision and bigger batches, the usual remedies, do little at one robot, because they shrink costs that were not binding. The remedy that works is to remove the steps between the arithmetic, and the planner's structure allows it. Once the search schedule is fixed, the planner's sequence of operations, the weights it needs and the synchronisation it requires are all known before it starts, which is what makes a single precomputed GPU program possible.</w:t>
      </w:r>
    </w:p>
    <w:p>
      <w:pPr>
        <w:spacing w:after="120" w:line="276"/>
      </w:pPr>
      <w:r>
        <w:rPr>
          <w:rFonts w:ascii="Arial" w:cs="Arial" w:eastAsia="Arial" w:hAnsi="Arial"/>
          <w:sz w:val="22"/>
          <w:szCs w:val="22"/>
        </w:rPr>
        <w:t xml:space="preserve">The analysis also showed that an algorithmic improvement and an execution improvement can depend on each other. iCEM was worth nothing under eager execution and a 1.39-times speed-up under fused execution. An evaluation that measured the algorithm in only one execution model would have reached the wrong conclusion either way. A planner's speed is a property of the algorithm and its execution together, and the profiling data are what reveal the interaction.</w:t>
      </w:r>
    </w:p>
    <w:p>
      <w:pPr>
        <w:pStyle w:val="Heading2"/>
        <w:keepNext/>
        <w:spacing w:after="120" w:before="240"/>
      </w:pPr>
      <w:bookmarkStart w:name="_Toc44" w:id="44"/>
      <w:r>
        <w:rPr>
          <w:rFonts w:ascii="Times New Roman" w:cs="Times New Roman" w:eastAsia="Times New Roman" w:hAnsi="Times New Roman"/>
          <w:b/>
          <w:bCs/>
          <w:color w:val="000000"/>
          <w:sz w:val="28"/>
          <w:szCs w:val="28"/>
        </w:rPr>
        <w:t xml:space="preserve">7.3 Position relative to other approaches</w:t>
      </w:r>
      <w:bookmarkEnd w:id="44"/>
    </w:p>
    <w:p>
      <w:pPr>
        <w:spacing w:after="120" w:line="276"/>
      </w:pPr>
      <w:r>
        <w:rPr>
          <w:rFonts w:ascii="Arial" w:cs="Arial" w:eastAsia="Arial" w:hAnsi="Arial"/>
          <w:sz w:val="22"/>
          <w:szCs w:val="22"/>
        </w:rPr>
        <w:t xml:space="preserve">Other routes to faster world-model planning change the model or remove the search. Fast LeWorldModel retrains the predictor to roll out a whole candidate in one pass and halves planning time (Gao &amp; Xu, 2026). An inverse-dynamics policy trained over LeWM replaces search with a single network evaluation, at 100 to 130 times lower cost per decision (Nguyen et al., 2026). LeWM-MK keeps the released weights and the explicit search and changes only how they are executed, so it composes with both: a faster model would shorten the chain the kernel walks, and a learned policy could give the search a better starting point. Megakernels for language models fuse one forward pass of a model per launch (Spector, Juravsky, Sul, Dugan, et al., 2025; Cheng et al., 2026). LeWM-MK fuses an entire optimisation loop of 2,820 model evaluations, 30 rounds of elite selection and their updates, which to our knowledge has not been done before for a learned world model.</w:t>
      </w:r>
    </w:p>
    <w:p>
      <w:pPr>
        <w:pStyle w:val="Heading2"/>
        <w:keepNext/>
        <w:spacing w:after="120" w:before="240"/>
      </w:pPr>
      <w:bookmarkStart w:name="_Toc45" w:id="45"/>
      <w:r>
        <w:rPr>
          <w:rFonts w:ascii="Times New Roman" w:cs="Times New Roman" w:eastAsia="Times New Roman" w:hAnsi="Times New Roman"/>
          <w:b/>
          <w:bCs/>
          <w:color w:val="000000"/>
          <w:sz w:val="28"/>
          <w:szCs w:val="28"/>
        </w:rPr>
        <w:t xml:space="preserve">7.4 Limitations</w:t>
      </w:r>
      <w:bookmarkEnd w:id="45"/>
    </w:p>
    <w:p>
      <w:pPr>
        <w:spacing w:after="120" w:line="276"/>
      </w:pPr>
      <w:r>
        <w:rPr>
          <w:rFonts w:ascii="Arial" w:cs="Arial" w:eastAsia="Arial" w:hAnsi="Arial"/>
          <w:b/>
          <w:bCs/>
          <w:sz w:val="22"/>
          <w:szCs w:val="22"/>
        </w:rPr>
        <w:t xml:space="preserve">Statistical resolution.</w:t>
      </w:r>
      <w:r>
        <w:rPr>
          <w:rFonts w:ascii="Arial" w:cs="Arial" w:eastAsia="Arial" w:hAnsi="Arial"/>
          <w:sz w:val="22"/>
          <w:szCs w:val="22"/>
        </w:rPr>
        <w:t xml:space="preserve"> Three hundred paired episodes detect differences in task success of about 6 percentage points. The claim that LeWM-MK preserves success is a claim of no detectable change at that resolution; a difference of 2 or 3 points either way would need about 2,500 paired episodes to resolve.</w:t>
      </w:r>
    </w:p>
    <w:p>
      <w:pPr>
        <w:spacing w:after="120" w:line="276"/>
      </w:pPr>
      <w:r>
        <w:rPr>
          <w:rFonts w:ascii="Arial" w:cs="Arial" w:eastAsia="Arial" w:hAnsi="Arial"/>
          <w:b/>
          <w:bCs/>
          <w:sz w:val="22"/>
          <w:szCs w:val="22"/>
        </w:rPr>
        <w:t xml:space="preserve">Attribution by difference.</w:t>
      </w:r>
      <w:r>
        <w:rPr>
          <w:rFonts w:ascii="Arial" w:cs="Arial" w:eastAsia="Arial" w:hAnsi="Arial"/>
          <w:sz w:val="22"/>
          <w:szCs w:val="22"/>
        </w:rPr>
        <w:t xml:space="preserve"> Two stages of the reference profile (the search and the synchronisation) and one of the new profile (the time outside the kernel) are estimated from combinations of measurements rather than measured directly. The micro-benchmark also measures an eager scoring call at 20 ms where the harness implies about 12 ms per iteration. The analysis relies on the shape of the scaling curve, which both sources agree on, not on its absolute level.</w:t>
      </w:r>
    </w:p>
    <w:p>
      <w:pPr>
        <w:spacing w:after="120" w:line="276"/>
      </w:pPr>
      <w:r>
        <w:rPr>
          <w:rFonts w:ascii="Arial" w:cs="Arial" w:eastAsia="Arial" w:hAnsi="Arial"/>
          <w:b/>
          <w:bCs/>
          <w:sz w:val="22"/>
          <w:szCs w:val="22"/>
        </w:rPr>
        <w:t xml:space="preserve">Scope.</w:t>
      </w:r>
      <w:r>
        <w:rPr>
          <w:rFonts w:ascii="Arial" w:cs="Arial" w:eastAsia="Arial" w:hAnsi="Arial"/>
          <w:sz w:val="22"/>
          <w:szCs w:val="22"/>
        </w:rPr>
        <w:t xml:space="preserve"> All results are for one model, one task and one GPU type. The kernel is written for LeWM's dimensions and for features specific to the H100, and does not run on other GPUs without porting. The mechanism, a latency-bound chain of small dependent steps, is shared by sampling-based planning with any small world model, so the analysis should transfer even where the numbers do not.</w:t>
      </w:r>
    </w:p>
    <w:p>
      <w:pPr>
        <w:spacing w:after="120" w:line="276"/>
      </w:pPr>
      <w:r>
        <w:rPr>
          <w:rFonts w:ascii="Arial" w:cs="Arial" w:eastAsia="Arial" w:hAnsi="Arial"/>
          <w:b/>
          <w:bCs/>
          <w:sz w:val="22"/>
          <w:szCs w:val="22"/>
        </w:rPr>
        <w:t xml:space="preserve">Simulation and the planning call only.</w:t>
      </w:r>
      <w:r>
        <w:rPr>
          <w:rFonts w:ascii="Arial" w:cs="Arial" w:eastAsia="Arial" w:hAnsi="Arial"/>
          <w:sz w:val="22"/>
          <w:szCs w:val="22"/>
        </w:rPr>
        <w:t xml:space="preserve"> Push-T is simulated, and a 46.5 ms plan is a statement about computation, not about control on a physical robot, which adds sensing and actuation delays. Only the planning call was optimised.</w:t>
      </w:r>
    </w:p>
    <w:p>
      <w:pPr>
        <w:spacing w:after="120" w:line="276"/>
      </w:pPr>
      <w:r>
        <w:rPr>
          <w:rFonts w:ascii="Arial" w:cs="Arial" w:eastAsia="Arial" w:hAnsi="Arial"/>
          <w:b/>
          <w:bCs/>
          <w:sz w:val="22"/>
          <w:szCs w:val="22"/>
        </w:rPr>
        <w:t xml:space="preserve">Measurement variance.</w:t>
      </w:r>
      <w:r>
        <w:rPr>
          <w:rFonts w:ascii="Arial" w:cs="Arial" w:eastAsia="Arial" w:hAnsi="Arial"/>
          <w:sz w:val="22"/>
          <w:szCs w:val="22"/>
        </w:rPr>
        <w:t xml:space="preserve"> Latency was measured in one pass of 61 episodes per system, in a rented cloud container. An earlier pass of the same benchmark gave PyTorch medians that differed by up to 18% (Appendix C), while the configurations running the kernel reproduced to within about 2%. The PyTorch medians are therefore best read as typical values, and so are the speed-ups that use them.</w:t>
      </w:r>
    </w:p>
    <w:p>
      <w:pPr>
        <w:pStyle w:val="Heading1"/>
        <w:keepNext/>
        <w:pageBreakBefore/>
        <w:spacing w:after="120" w:before="360"/>
      </w:pPr>
      <w:bookmarkStart w:name="_Toc46" w:id="46"/>
      <w:r>
        <w:rPr>
          <w:rFonts w:ascii="Times New Roman" w:cs="Times New Roman" w:eastAsia="Times New Roman" w:hAnsi="Times New Roman"/>
          <w:b/>
          <w:bCs/>
          <w:color w:val="000000"/>
          <w:sz w:val="32"/>
          <w:szCs w:val="32"/>
        </w:rPr>
        <w:t xml:space="preserve">8. Conclusion and future work</w:t>
      </w:r>
      <w:bookmarkEnd w:id="46"/>
    </w:p>
    <w:p>
      <w:pPr>
        <w:pStyle w:val="Heading2"/>
        <w:keepNext/>
        <w:spacing w:after="120" w:before="240"/>
      </w:pPr>
      <w:bookmarkStart w:name="_Toc47" w:id="47"/>
      <w:r>
        <w:rPr>
          <w:rFonts w:ascii="Times New Roman" w:cs="Times New Roman" w:eastAsia="Times New Roman" w:hAnsi="Times New Roman"/>
          <w:b/>
          <w:bCs/>
          <w:color w:val="000000"/>
          <w:sz w:val="28"/>
          <w:szCs w:val="28"/>
        </w:rPr>
        <w:t xml:space="preserve">8.1 Conclusion</w:t>
      </w:r>
      <w:bookmarkEnd w:id="47"/>
    </w:p>
    <w:p>
      <w:pPr>
        <w:spacing w:after="120" w:line="276"/>
      </w:pPr>
      <w:r>
        <w:rPr>
          <w:rFonts w:ascii="Arial" w:cs="Arial" w:eastAsia="Arial" w:hAnsi="Arial"/>
          <w:sz w:val="22"/>
          <w:szCs w:val="22"/>
        </w:rPr>
        <w:t xml:space="preserve">This project set out to make planning with a learned world model fast enough for robot control, without retraining the model or making the robot less successful, and to do it by analysing data rather than by guesswork. Profiling LeWM's released planner on an H100 showed that its 622 ms per plan was mostly not computation. A third was spent re-encoding two images 60 times. Most of the rest was a search whose cost per iteration is 99% fixed overhead, which also explains why a sample-efficient search algorithm had appeared useless. The arithmetic the planner exists to perform took a small fraction of its time.</w:t>
      </w:r>
    </w:p>
    <w:p>
      <w:pPr>
        <w:spacing w:after="120" w:line="276"/>
      </w:pPr>
      <w:r>
        <w:rPr>
          <w:rFonts w:ascii="Arial" w:cs="Arial" w:eastAsia="Arial" w:hAnsi="Arial"/>
          <w:sz w:val="22"/>
          <w:szCs w:val="22"/>
        </w:rPr>
        <w:t xml:space="preserve">The solution follows from that profile. Each image is encoded once. The search uses iCEM, which evaluates 3.2 times fewer candidates. The whole plan, from camera frame to action distribution, runs as one persistent GPU program that keeps its data on chip, spreads the small model across a cluster of processors and streams its weights ahead of use. One plan for one robot now takes 46.5 ms with a 90th percentile of 47.0 ms: 13.4 times faster than the reference and 3.9 times faster than an optimised PyTorch implementation on the same GPU. Task success on 300 paired episodes is unchanged within the evaluation's resolution, and the numerical error matches the accepted half-precision arithmetic. Planning with this world model has moved from the time scale of deliberation to the time scale of control.</w:t>
      </w:r>
    </w:p>
    <w:p>
      <w:pPr>
        <w:spacing w:after="120" w:line="276"/>
      </w:pPr>
      <w:r>
        <w:rPr>
          <w:rFonts w:ascii="Arial" w:cs="Arial" w:eastAsia="Arial" w:hAnsi="Arial"/>
          <w:sz w:val="22"/>
          <w:szCs w:val="22"/>
        </w:rPr>
        <w:t xml:space="preserve">The broader lesson is analytic. When an AI system is slow, the remedy depends on what kind of slow it is. A small model planning for one robot is limited neither by arithmetic nor by memory bandwidth but by fixed costs repeated thousands of times. A simple fitted model of how latency scales with workload is enough to tell the cases apart, and it predicted correctly which optimisation would pay.</w:t>
      </w:r>
    </w:p>
    <w:p>
      <w:pPr>
        <w:pStyle w:val="Heading2"/>
        <w:keepNext/>
        <w:spacing w:after="120" w:before="240"/>
      </w:pPr>
      <w:bookmarkStart w:name="_Toc48" w:id="48"/>
      <w:r>
        <w:rPr>
          <w:rFonts w:ascii="Times New Roman" w:cs="Times New Roman" w:eastAsia="Times New Roman" w:hAnsi="Times New Roman"/>
          <w:b/>
          <w:bCs/>
          <w:color w:val="000000"/>
          <w:sz w:val="28"/>
          <w:szCs w:val="28"/>
        </w:rPr>
        <w:t xml:space="preserve">8.2 Future work</w:t>
      </w:r>
      <w:bookmarkEnd w:id="48"/>
    </w:p>
    <w:p>
      <w:pPr>
        <w:spacing w:after="120" w:line="276"/>
      </w:pPr>
      <w:r>
        <w:rPr>
          <w:rFonts w:ascii="Arial" w:cs="Arial" w:eastAsia="Arial" w:hAnsi="Arial"/>
          <w:b/>
          <w:bCs/>
          <w:sz w:val="22"/>
          <w:szCs w:val="22"/>
        </w:rPr>
        <w:t xml:space="preserve">Spend the saved time on better plans.</w:t>
      </w:r>
      <w:r>
        <w:rPr>
          <w:rFonts w:ascii="Arial" w:cs="Arial" w:eastAsia="Arial" w:hAnsi="Arial"/>
          <w:sz w:val="22"/>
          <w:szCs w:val="22"/>
        </w:rPr>
        <w:t xml:space="preserve"> The search budget was held fixed to measure execution alone. At 46.5 ms a plan with more iterations or a larger population still fits a 100 ms control period. A sweep of these settings, now cheap to run, would map the trade-off between latency and success and test whether more search closes the gap between the 87% success measured here and the 96% that LeWM's authors report.</w:t>
      </w:r>
    </w:p>
    <w:p>
      <w:pPr>
        <w:spacing w:after="120" w:line="276"/>
      </w:pPr>
      <w:r>
        <w:rPr>
          <w:rFonts w:ascii="Arial" w:cs="Arial" w:eastAsia="Arial" w:hAnsi="Arial"/>
          <w:b/>
          <w:bCs/>
          <w:sz w:val="22"/>
          <w:szCs w:val="22"/>
        </w:rPr>
        <w:t xml:space="preserve">Shorten the remaining chain.</w:t>
      </w:r>
      <w:r>
        <w:rPr>
          <w:rFonts w:ascii="Arial" w:cs="Arial" w:eastAsia="Arial" w:hAnsi="Arial"/>
          <w:sz w:val="22"/>
          <w:szCs w:val="22"/>
        </w:rPr>
        <w:t xml:space="preserve"> The search is now limited by 900 dependent layer evaluations with several cross-processor exchanges each. Combining the kernel with Fast LeWorldModel's one-pass rollout (Gao &amp; Xu, 2026), or redesigning the kernel so that each cluster holds one layer and candidates stream through, would attack the chain directly.</w:t>
      </w:r>
    </w:p>
    <w:p>
      <w:pPr>
        <w:spacing w:after="120" w:line="276"/>
      </w:pPr>
      <w:r>
        <w:rPr>
          <w:rFonts w:ascii="Arial" w:cs="Arial" w:eastAsia="Arial" w:hAnsi="Arial"/>
          <w:b/>
          <w:bCs/>
          <w:sz w:val="22"/>
          <w:szCs w:val="22"/>
        </w:rPr>
        <w:t xml:space="preserve">Other models, other hardware.</w:t>
      </w:r>
      <w:r>
        <w:rPr>
          <w:rFonts w:ascii="Arial" w:cs="Arial" w:eastAsia="Arial" w:hAnsi="Arial"/>
          <w:sz w:val="22"/>
          <w:szCs w:val="22"/>
        </w:rPr>
        <w:t xml:space="preserve"> LeWM's single-vector representation is the most favourable case for this design. Larger world models such as DINO-WM and V-JEPA 2-AC have larger matrices and may return to a regime where throughput matters, and onboard robot computers have different costs again. Automatic megakernel compilers (Cheng et al., 2026; Jin et al., 2026) could make porting a matter of compilation rather than rewriting.</w:t>
      </w:r>
    </w:p>
    <w:p>
      <w:pPr>
        <w:spacing w:after="120" w:line="276"/>
      </w:pPr>
      <w:r>
        <w:rPr>
          <w:rFonts w:ascii="Arial" w:cs="Arial" w:eastAsia="Arial" w:hAnsi="Arial"/>
          <w:b/>
          <w:bCs/>
          <w:sz w:val="22"/>
          <w:szCs w:val="22"/>
        </w:rPr>
        <w:t xml:space="preserve">Evaluate at the resolution a deployment needs, and on a robot.</w:t>
      </w:r>
      <w:r>
        <w:rPr>
          <w:rFonts w:ascii="Arial" w:cs="Arial" w:eastAsia="Arial" w:hAnsi="Arial"/>
          <w:sz w:val="22"/>
          <w:szCs w:val="22"/>
        </w:rPr>
        <w:t xml:space="preserve"> Resolving differences in success of 2 points needs about 2,500 paired episodes, which at the new speed is a matter of minutes of planning rather than hours. The final step is a physical robot, where the question becomes how much faster replanning improves what the robot achieves.</w:t>
      </w:r>
    </w:p>
    <w:p>
      <w:pPr>
        <w:pStyle w:val="Heading1"/>
        <w:keepNext/>
        <w:pageBreakBefore/>
        <w:spacing w:after="120" w:before="360"/>
      </w:pPr>
      <w:bookmarkStart w:name="_Toc49" w:id="49"/>
      <w:r>
        <w:rPr>
          <w:rFonts w:ascii="Times New Roman" w:cs="Times New Roman" w:eastAsia="Times New Roman" w:hAnsi="Times New Roman"/>
          <w:b/>
          <w:bCs/>
          <w:color w:val="000000"/>
          <w:sz w:val="32"/>
          <w:szCs w:val="32"/>
        </w:rPr>
        <w:t xml:space="preserve">References</w:t>
      </w:r>
      <w:bookmarkEnd w:id="49"/>
    </w:p>
    <w:p>
      <w:pPr>
        <w:spacing w:after="120" w:line="276"/>
        <w:ind w:left="720" w:hanging="720"/>
      </w:pPr>
      <w:r>
        <w:rPr>
          <w:rFonts w:ascii="Arial" w:cs="Arial" w:eastAsia="Arial" w:hAnsi="Arial"/>
          <w:sz w:val="22"/>
          <w:szCs w:val="22"/>
        </w:rPr>
        <w:t xml:space="preserve">Abramowitz, M., &amp; Stegun, I. A. (1964). </w:t>
      </w:r>
      <w:r>
        <w:rPr>
          <w:rFonts w:ascii="Arial" w:cs="Arial" w:eastAsia="Arial" w:hAnsi="Arial"/>
          <w:i/>
          <w:iCs/>
          <w:sz w:val="22"/>
          <w:szCs w:val="22"/>
        </w:rPr>
        <w:t xml:space="preserve">Handbook of mathematical functions with formulas, graphs, and mathematical tables</w:t>
      </w:r>
      <w:r>
        <w:rPr>
          <w:rFonts w:ascii="Arial" w:cs="Arial" w:eastAsia="Arial" w:hAnsi="Arial"/>
          <w:sz w:val="22"/>
          <w:szCs w:val="22"/>
        </w:rPr>
        <w:t xml:space="preserve"> (National Bureau of Standards Applied Mathematics Series 55). U.S. Government Printing Office.</w:t>
      </w:r>
    </w:p>
    <w:p>
      <w:pPr>
        <w:spacing w:after="120" w:line="276"/>
        <w:ind w:left="720" w:hanging="720"/>
      </w:pPr>
      <w:r>
        <w:rPr>
          <w:rFonts w:ascii="Arial" w:cs="Arial" w:eastAsia="Arial" w:hAnsi="Arial"/>
          <w:sz w:val="22"/>
          <w:szCs w:val="22"/>
        </w:rPr>
        <w:t xml:space="preserve">Andersch, M., Palmer, G., Krashinsky, R., Stam, N., Mehta, V., Brito, G., &amp; Ramaswamy, S. (2022, March 22). </w:t>
      </w:r>
      <w:r>
        <w:rPr>
          <w:rFonts w:ascii="Arial" w:cs="Arial" w:eastAsia="Arial" w:hAnsi="Arial"/>
          <w:i/>
          <w:iCs/>
          <w:sz w:val="22"/>
          <w:szCs w:val="22"/>
        </w:rPr>
        <w:t xml:space="preserve">NVIDIA Hopper architecture in-depth</w:t>
      </w:r>
      <w:r>
        <w:rPr>
          <w:rFonts w:ascii="Arial" w:cs="Arial" w:eastAsia="Arial" w:hAnsi="Arial"/>
          <w:sz w:val="22"/>
          <w:szCs w:val="22"/>
        </w:rPr>
        <w:t xml:space="preserve">. NVIDIA Technical Blog. https://developer.nvidia.com/blog/nvidia-hopper-architecture-in-depth/</w:t>
      </w:r>
    </w:p>
    <w:p>
      <w:pPr>
        <w:spacing w:after="120" w:line="276"/>
        <w:ind w:left="720" w:hanging="720"/>
      </w:pPr>
      <w:r>
        <w:rPr>
          <w:rFonts w:ascii="Arial" w:cs="Arial" w:eastAsia="Arial" w:hAnsi="Arial"/>
          <w:sz w:val="22"/>
          <w:szCs w:val="22"/>
        </w:rPr>
        <w:t xml:space="preserve">Ansel, J., Yang, E., He, H., Gimelshein, N., Jain, A., Voznesensky, M., Bao, B., Bell, P., Berard, D., Burovski, E., Chauhan, G., Chourdia, A., Constable, W., Desmaison, A., DeVito, Z., Ellison, E., Feng, W., Gong, J., Gschwind, M., . . . Chintala, S. (2024). PyTorch 2: Faster machine learning through dynamic Python bytecode transformation and graph compilation. In </w:t>
      </w:r>
      <w:r>
        <w:rPr>
          <w:rFonts w:ascii="Arial" w:cs="Arial" w:eastAsia="Arial" w:hAnsi="Arial"/>
          <w:i/>
          <w:iCs/>
          <w:sz w:val="22"/>
          <w:szCs w:val="22"/>
        </w:rPr>
        <w:t xml:space="preserve">Proceedings of the 29th ACM International Conference on Architectural Support for Programming Languages and Operating Systems, Volume 2</w:t>
      </w:r>
      <w:r>
        <w:rPr>
          <w:rFonts w:ascii="Arial" w:cs="Arial" w:eastAsia="Arial" w:hAnsi="Arial"/>
          <w:sz w:val="22"/>
          <w:szCs w:val="22"/>
        </w:rPr>
        <w:t xml:space="preserve"> (pp. 929–947). ACM. https://doi.org/10.1145/3620665.3640366</w:t>
      </w:r>
    </w:p>
    <w:p>
      <w:pPr>
        <w:spacing w:after="120" w:line="276"/>
        <w:ind w:left="720" w:hanging="720"/>
      </w:pPr>
      <w:r>
        <w:rPr>
          <w:rFonts w:ascii="Arial" w:cs="Arial" w:eastAsia="Arial" w:hAnsi="Arial"/>
          <w:sz w:val="22"/>
          <w:szCs w:val="22"/>
        </w:rPr>
        <w:t xml:space="preserve">Assran, M., Bardes, A., Fan, D., Garrido, Q., Howes, R., Komeili, M., Muckley, M., Rizvi, A., Roberts, C., Sinha, K., Zholus, A., Arnaud, S., Gejji, A., Martin, A., Hogan, F. R., Dugas, D., Bojanowski, P., Khalidov, V., Labatut, P., . . . Ballas, N. (2025). </w:t>
      </w:r>
      <w:r>
        <w:rPr>
          <w:rFonts w:ascii="Arial" w:cs="Arial" w:eastAsia="Arial" w:hAnsi="Arial"/>
          <w:i/>
          <w:iCs/>
          <w:sz w:val="22"/>
          <w:szCs w:val="22"/>
        </w:rPr>
        <w:t xml:space="preserve">V-JEPA 2: Self-supervised video models enable understanding, prediction and planning</w:t>
      </w:r>
      <w:r>
        <w:rPr>
          <w:rFonts w:ascii="Arial" w:cs="Arial" w:eastAsia="Arial" w:hAnsi="Arial"/>
          <w:sz w:val="22"/>
          <w:szCs w:val="22"/>
        </w:rPr>
        <w:t xml:space="preserve"> (arXiv:2506.09985). arXiv. https://doi.org/10.48550/arXiv.2506.09985</w:t>
      </w:r>
    </w:p>
    <w:p>
      <w:pPr>
        <w:spacing w:after="120" w:line="276"/>
        <w:ind w:left="720" w:hanging="720"/>
      </w:pPr>
      <w:r>
        <w:rPr>
          <w:rFonts w:ascii="Arial" w:cs="Arial" w:eastAsia="Arial" w:hAnsi="Arial"/>
          <w:sz w:val="22"/>
          <w:szCs w:val="22"/>
        </w:rPr>
        <w:t xml:space="preserve">Assran, M., Duval, Q., Misra, I., Bojanowski, P., Vincent, P., Rabbat, M., LeCun, Y., &amp; Ballas, N. (2023). Self-supervised learning from images with a joint-embedding predictive architecture. In </w:t>
      </w:r>
      <w:r>
        <w:rPr>
          <w:rFonts w:ascii="Arial" w:cs="Arial" w:eastAsia="Arial" w:hAnsi="Arial"/>
          <w:i/>
          <w:iCs/>
          <w:sz w:val="22"/>
          <w:szCs w:val="22"/>
        </w:rPr>
        <w:t xml:space="preserve">Proceedings of the IEEE/CVF Conference on Computer Vision and Pattern Recognition (CVPR)</w:t>
      </w:r>
      <w:r>
        <w:rPr>
          <w:rFonts w:ascii="Arial" w:cs="Arial" w:eastAsia="Arial" w:hAnsi="Arial"/>
          <w:sz w:val="22"/>
          <w:szCs w:val="22"/>
        </w:rPr>
        <w:t xml:space="preserve"> (pp. 15619–15629). IEEE. https://doi.org/10.1109/CVPR52729.2023.01499</w:t>
      </w:r>
    </w:p>
    <w:p>
      <w:pPr>
        <w:spacing w:after="120" w:line="276"/>
        <w:ind w:left="720" w:hanging="720"/>
      </w:pPr>
      <w:r>
        <w:rPr>
          <w:rFonts w:ascii="Arial" w:cs="Arial" w:eastAsia="Arial" w:hAnsi="Arial"/>
          <w:sz w:val="22"/>
          <w:szCs w:val="22"/>
        </w:rPr>
        <w:t xml:space="preserve">Balestriero, R., &amp; LeCun, Y. (2025). </w:t>
      </w:r>
      <w:r>
        <w:rPr>
          <w:rFonts w:ascii="Arial" w:cs="Arial" w:eastAsia="Arial" w:hAnsi="Arial"/>
          <w:i/>
          <w:iCs/>
          <w:sz w:val="22"/>
          <w:szCs w:val="22"/>
        </w:rPr>
        <w:t xml:space="preserve">LeJEPA: Provable and scalable self-supervised learning without the heuristics</w:t>
      </w:r>
      <w:r>
        <w:rPr>
          <w:rFonts w:ascii="Arial" w:cs="Arial" w:eastAsia="Arial" w:hAnsi="Arial"/>
          <w:sz w:val="22"/>
          <w:szCs w:val="22"/>
        </w:rPr>
        <w:t xml:space="preserve"> (arXiv:2511.08544). arXiv. https://doi.org/10.48550/arXiv.2511.08544</w:t>
      </w:r>
    </w:p>
    <w:p>
      <w:pPr>
        <w:spacing w:after="120" w:line="276"/>
        <w:ind w:left="720" w:hanging="720"/>
      </w:pPr>
      <w:r>
        <w:rPr>
          <w:rFonts w:ascii="Arial" w:cs="Arial" w:eastAsia="Arial" w:hAnsi="Arial"/>
          <w:sz w:val="22"/>
          <w:szCs w:val="22"/>
        </w:rPr>
        <w:t xml:space="preserve">Bardes, A., Garrido, Q., Ponce, J., Chen, X., Rabbat, M., LeCun, Y., Assran, M., &amp; Ballas, N. (2024). Revisiting feature prediction for learning visual representations from video.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https://openreview.net/forum?id=QaCCuDfBk2</w:t>
      </w:r>
    </w:p>
    <w:p>
      <w:pPr>
        <w:spacing w:after="120" w:line="276"/>
        <w:ind w:left="720" w:hanging="720"/>
      </w:pPr>
      <w:r>
        <w:rPr>
          <w:rFonts w:ascii="Arial" w:cs="Arial" w:eastAsia="Arial" w:hAnsi="Arial"/>
          <w:sz w:val="22"/>
          <w:szCs w:val="22"/>
        </w:rPr>
        <w:t xml:space="preserve">Bhardwaj, M., Sundaralingam, B., Mousavian, A., Ratliff, N. D., Fox, D., Ramos, F., &amp; Boots, B. (2022). STORM: An integrated framework for fast joint-space model-predictive control for reactive manipulation. In </w:t>
      </w:r>
      <w:r>
        <w:rPr>
          <w:rFonts w:ascii="Arial" w:cs="Arial" w:eastAsia="Arial" w:hAnsi="Arial"/>
          <w:i/>
          <w:iCs/>
          <w:sz w:val="22"/>
          <w:szCs w:val="22"/>
        </w:rPr>
        <w:t xml:space="preserve">Proceedings of the 5th Conference on Robot Learning</w:t>
      </w:r>
      <w:r>
        <w:rPr>
          <w:rFonts w:ascii="Arial" w:cs="Arial" w:eastAsia="Arial" w:hAnsi="Arial"/>
          <w:sz w:val="22"/>
          <w:szCs w:val="22"/>
        </w:rPr>
        <w:t xml:space="preserve"> (Vol. 164, pp. 750–759). PMLR. https://proceedings.mlr.press/v164/bhardwaj22a.html</w:t>
      </w:r>
    </w:p>
    <w:p>
      <w:pPr>
        <w:spacing w:after="120" w:line="276"/>
        <w:ind w:left="720" w:hanging="720"/>
      </w:pPr>
      <w:r>
        <w:rPr>
          <w:rFonts w:ascii="Arial" w:cs="Arial" w:eastAsia="Arial" w:hAnsi="Arial"/>
          <w:sz w:val="22"/>
          <w:szCs w:val="22"/>
        </w:rPr>
        <w:t xml:space="preserve">Cheng, X., Zhang, Z., Zhou, Y., Ji, J., Jiang, J., Zhao, Z., Xiao, Z., Ye, Z., Huang, Y., Lai, R., Jin, H., Hou, B., Wu, M., Dong, Y., Yip, A., Wang, S., Yang, W., Miao, X., Chen, T., &amp; Jia, Z. (2026). MPK: A compiler and runtime for mega-kernelizing tensor programs. In </w:t>
      </w:r>
      <w:r>
        <w:rPr>
          <w:rFonts w:ascii="Arial" w:cs="Arial" w:eastAsia="Arial" w:hAnsi="Arial"/>
          <w:i/>
          <w:iCs/>
          <w:sz w:val="22"/>
          <w:szCs w:val="22"/>
        </w:rPr>
        <w:t xml:space="preserve">20th USENIX Symposium on Operating Systems Design and Implementation (OSDI 26)</w:t>
      </w:r>
      <w:r>
        <w:rPr>
          <w:rFonts w:ascii="Arial" w:cs="Arial" w:eastAsia="Arial" w:hAnsi="Arial"/>
          <w:sz w:val="22"/>
          <w:szCs w:val="22"/>
        </w:rPr>
        <w:t xml:space="preserve"> (pp. 1909–1926). USENIX Association. https://www.usenix.org/conference/osdi26/presentation/cheng</w:t>
      </w:r>
    </w:p>
    <w:p>
      <w:pPr>
        <w:spacing w:after="120" w:line="276"/>
        <w:ind w:left="720" w:hanging="720"/>
      </w:pPr>
      <w:r>
        <w:rPr>
          <w:rFonts w:ascii="Arial" w:cs="Arial" w:eastAsia="Arial" w:hAnsi="Arial"/>
          <w:sz w:val="22"/>
          <w:szCs w:val="22"/>
        </w:rPr>
        <w:t xml:space="preserve">Chua, K., Calandra, R., McAllister, R., &amp; Levine, S. (2018). Deep reinforcement learning in a handful of trials using probabilistic dynamics models. In </w:t>
      </w:r>
      <w:r>
        <w:rPr>
          <w:rFonts w:ascii="Arial" w:cs="Arial" w:eastAsia="Arial" w:hAnsi="Arial"/>
          <w:i/>
          <w:iCs/>
          <w:sz w:val="22"/>
          <w:szCs w:val="22"/>
        </w:rPr>
        <w:t xml:space="preserve">Advances in Neural Information Processing Systems 31</w:t>
      </w:r>
      <w:r>
        <w:rPr>
          <w:rFonts w:ascii="Arial" w:cs="Arial" w:eastAsia="Arial" w:hAnsi="Arial"/>
          <w:sz w:val="22"/>
          <w:szCs w:val="22"/>
        </w:rPr>
        <w:t xml:space="preserve"> (pp. 4754–4765). Curran Associates. https://proceedings.neurips.cc/paper/2018/hash/3de568f8597b94bda53149c7d7f5958c-Abstract.html</w:t>
      </w:r>
    </w:p>
    <w:p>
      <w:pPr>
        <w:spacing w:after="120" w:line="276"/>
        <w:ind w:left="720" w:hanging="720"/>
      </w:pPr>
      <w:r>
        <w:rPr>
          <w:rFonts w:ascii="Arial" w:cs="Arial" w:eastAsia="Arial" w:hAnsi="Arial"/>
          <w:sz w:val="22"/>
          <w:szCs w:val="22"/>
        </w:rPr>
        <w:t xml:space="preserve">Connor, R. J. (1987). Sample size for testing differences in proportions for the paired-sample design. </w:t>
      </w:r>
      <w:r>
        <w:rPr>
          <w:rFonts w:ascii="Arial" w:cs="Arial" w:eastAsia="Arial" w:hAnsi="Arial"/>
          <w:i/>
          <w:iCs/>
          <w:sz w:val="22"/>
          <w:szCs w:val="22"/>
        </w:rPr>
        <w:t xml:space="preserve">Biometrics, 43</w:t>
      </w:r>
      <w:r>
        <w:rPr>
          <w:rFonts w:ascii="Arial" w:cs="Arial" w:eastAsia="Arial" w:hAnsi="Arial"/>
          <w:sz w:val="22"/>
          <w:szCs w:val="22"/>
        </w:rPr>
        <w:t xml:space="preserve">(1), 207–211. https://doi.org/10.2307/2531961</w:t>
      </w:r>
    </w:p>
    <w:p>
      <w:pPr>
        <w:spacing w:after="120" w:line="276"/>
        <w:ind w:left="720" w:hanging="720"/>
      </w:pPr>
      <w:r>
        <w:rPr>
          <w:rFonts w:ascii="Arial" w:cs="Arial" w:eastAsia="Arial" w:hAnsi="Arial"/>
          <w:sz w:val="22"/>
          <w:szCs w:val="22"/>
        </w:rPr>
        <w:t xml:space="preserve">Dao, T., Fu, D. Y., Ermon, S., Rudra, A., &amp; Ré, C. (2022). FlashAttention: Fast and memory-efficient exact attention with IO-awareness. In </w:t>
      </w:r>
      <w:r>
        <w:rPr>
          <w:rFonts w:ascii="Arial" w:cs="Arial" w:eastAsia="Arial" w:hAnsi="Arial"/>
          <w:i/>
          <w:iCs/>
          <w:sz w:val="22"/>
          <w:szCs w:val="22"/>
        </w:rPr>
        <w:t xml:space="preserve">Advances in Neural Information Processing Systems 35</w:t>
      </w:r>
      <w:r>
        <w:rPr>
          <w:rFonts w:ascii="Arial" w:cs="Arial" w:eastAsia="Arial" w:hAnsi="Arial"/>
          <w:sz w:val="22"/>
          <w:szCs w:val="22"/>
        </w:rPr>
        <w:t xml:space="preserve"> (pp. 16344–16359). Curran Associates. https://doi.org/10.52202/068431-1189</w:t>
      </w:r>
    </w:p>
    <w:p>
      <w:pPr>
        <w:spacing w:after="120" w:line="276"/>
        <w:ind w:left="720" w:hanging="720"/>
      </w:pPr>
      <w:r>
        <w:rPr>
          <w:rFonts w:ascii="Arial" w:cs="Arial" w:eastAsia="Arial" w:hAnsi="Arial"/>
          <w:sz w:val="22"/>
          <w:szCs w:val="22"/>
        </w:rPr>
        <w:t xml:space="preserve">de Boer, P.-T., Kroese, D. P., Mannor, S., &amp; Rubinstein, R. Y. (2005). A tutorial on the cross-entropy method. </w:t>
      </w:r>
      <w:r>
        <w:rPr>
          <w:rFonts w:ascii="Arial" w:cs="Arial" w:eastAsia="Arial" w:hAnsi="Arial"/>
          <w:i/>
          <w:iCs/>
          <w:sz w:val="22"/>
          <w:szCs w:val="22"/>
        </w:rPr>
        <w:t xml:space="preserve">Annals of Operations Research, 134</w:t>
      </w:r>
      <w:r>
        <w:rPr>
          <w:rFonts w:ascii="Arial" w:cs="Arial" w:eastAsia="Arial" w:hAnsi="Arial"/>
          <w:sz w:val="22"/>
          <w:szCs w:val="22"/>
        </w:rPr>
        <w:t xml:space="preserve">(1), 19–67. https://doi.org/10.1007/s10479-005-5724-z</w:t>
      </w:r>
    </w:p>
    <w:p>
      <w:pPr>
        <w:spacing w:after="120" w:line="276"/>
        <w:ind w:left="720" w:hanging="720"/>
      </w:pPr>
      <w:r>
        <w:rPr>
          <w:rFonts w:ascii="Arial" w:cs="Arial" w:eastAsia="Arial" w:hAnsi="Arial"/>
          <w:sz w:val="22"/>
          <w:szCs w:val="22"/>
        </w:rPr>
        <w:t xml:space="preserve">Diamos, G., Sengupta, S., Catanzaro, B., Chrzanowski, M., Coates, A., Elsen, E., Engel, J., Hannun, A., &amp; Satheesh, S. (2016). Persistent RNNs: Stashing recurrent weights on-chip. In </w:t>
      </w:r>
      <w:r>
        <w:rPr>
          <w:rFonts w:ascii="Arial" w:cs="Arial" w:eastAsia="Arial" w:hAnsi="Arial"/>
          <w:i/>
          <w:iCs/>
          <w:sz w:val="22"/>
          <w:szCs w:val="22"/>
        </w:rPr>
        <w:t xml:space="preserve">Proceedings of the 33rd International Conference on Machine Learning</w:t>
      </w:r>
      <w:r>
        <w:rPr>
          <w:rFonts w:ascii="Arial" w:cs="Arial" w:eastAsia="Arial" w:hAnsi="Arial"/>
          <w:sz w:val="22"/>
          <w:szCs w:val="22"/>
        </w:rPr>
        <w:t xml:space="preserve"> (Vol. 48, pp. 2024–2033). PMLR. https://proceedings.mlr.press/v48/diamos16.html</w:t>
      </w:r>
    </w:p>
    <w:p>
      <w:pPr>
        <w:spacing w:after="120" w:line="276"/>
        <w:ind w:left="720" w:hanging="720"/>
      </w:pPr>
      <w:r>
        <w:rPr>
          <w:rFonts w:ascii="Arial" w:cs="Arial" w:eastAsia="Arial" w:hAnsi="Arial"/>
          <w:sz w:val="22"/>
          <w:szCs w:val="22"/>
        </w:rPr>
        <w:t xml:space="preserve">Dosovitskiy, A., Beyer, L., Kolesnikov, A., Weissenborn, D., Zhai, X., Unterthiner, T., Dehghani, M., Minderer, M., Heigold, G., Gelly, S., Uszkoreit, J., &amp; Houlsby, N. (2021). An image is worth 16x16 words: Transformers for image recognition at scale. In </w:t>
      </w:r>
      <w:r>
        <w:rPr>
          <w:rFonts w:ascii="Arial" w:cs="Arial" w:eastAsia="Arial" w:hAnsi="Arial"/>
          <w:i/>
          <w:iCs/>
          <w:sz w:val="22"/>
          <w:szCs w:val="22"/>
        </w:rPr>
        <w:t xml:space="preserve">International Conference on Learning Representations</w:t>
      </w:r>
      <w:r>
        <w:rPr>
          <w:rFonts w:ascii="Arial" w:cs="Arial" w:eastAsia="Arial" w:hAnsi="Arial"/>
          <w:sz w:val="22"/>
          <w:szCs w:val="22"/>
        </w:rPr>
        <w:t xml:space="preserve">. https://openreview.net/forum?id=YicbFdNTTy</w:t>
      </w:r>
    </w:p>
    <w:p>
      <w:pPr>
        <w:spacing w:after="120" w:line="276"/>
        <w:ind w:left="720" w:hanging="720"/>
      </w:pPr>
      <w:r>
        <w:rPr>
          <w:rFonts w:ascii="Arial" w:cs="Arial" w:eastAsia="Arial" w:hAnsi="Arial"/>
          <w:sz w:val="22"/>
          <w:szCs w:val="22"/>
        </w:rPr>
        <w:t xml:space="preserve">Efron, B., &amp; Tibshirani, R. J. (1993). </w:t>
      </w:r>
      <w:r>
        <w:rPr>
          <w:rFonts w:ascii="Arial" w:cs="Arial" w:eastAsia="Arial" w:hAnsi="Arial"/>
          <w:i/>
          <w:iCs/>
          <w:sz w:val="22"/>
          <w:szCs w:val="22"/>
        </w:rPr>
        <w:t xml:space="preserve">An introduction to the bootstrap</w:t>
      </w:r>
      <w:r>
        <w:rPr>
          <w:rFonts w:ascii="Arial" w:cs="Arial" w:eastAsia="Arial" w:hAnsi="Arial"/>
          <w:sz w:val="22"/>
          <w:szCs w:val="22"/>
        </w:rPr>
        <w:t xml:space="preserve">. Chapman &amp; Hall. https://doi.org/10.1201/9780429246593</w:t>
      </w:r>
    </w:p>
    <w:p>
      <w:pPr>
        <w:spacing w:after="120" w:line="276"/>
        <w:ind w:left="720" w:hanging="720"/>
      </w:pPr>
      <w:r>
        <w:rPr>
          <w:rFonts w:ascii="Arial" w:cs="Arial" w:eastAsia="Arial" w:hAnsi="Arial"/>
          <w:sz w:val="22"/>
          <w:szCs w:val="22"/>
        </w:rPr>
        <w:t xml:space="preserve">Gao, Y., &amp; Xu, X. (2026). </w:t>
      </w:r>
      <w:r>
        <w:rPr>
          <w:rFonts w:ascii="Arial" w:cs="Arial" w:eastAsia="Arial" w:hAnsi="Arial"/>
          <w:i/>
          <w:iCs/>
          <w:sz w:val="22"/>
          <w:szCs w:val="22"/>
        </w:rPr>
        <w:t xml:space="preserve">Fast LeWorldModel</w:t>
      </w:r>
      <w:r>
        <w:rPr>
          <w:rFonts w:ascii="Arial" w:cs="Arial" w:eastAsia="Arial" w:hAnsi="Arial"/>
          <w:sz w:val="22"/>
          <w:szCs w:val="22"/>
        </w:rPr>
        <w:t xml:space="preserve"> (arXiv:2606.26217). arXiv. https://doi.org/10.48550/arXiv.2606.26217</w:t>
      </w:r>
    </w:p>
    <w:p>
      <w:pPr>
        <w:spacing w:after="120" w:line="276"/>
        <w:ind w:left="720" w:hanging="720"/>
      </w:pPr>
      <w:r>
        <w:rPr>
          <w:rFonts w:ascii="Arial" w:cs="Arial" w:eastAsia="Arial" w:hAnsi="Arial"/>
          <w:sz w:val="22"/>
          <w:szCs w:val="22"/>
        </w:rPr>
        <w:t xml:space="preserve">Gray, A. (2019, September 5). </w:t>
      </w:r>
      <w:r>
        <w:rPr>
          <w:rFonts w:ascii="Arial" w:cs="Arial" w:eastAsia="Arial" w:hAnsi="Arial"/>
          <w:i/>
          <w:iCs/>
          <w:sz w:val="22"/>
          <w:szCs w:val="22"/>
        </w:rPr>
        <w:t xml:space="preserve">Getting started with CUDA Graphs</w:t>
      </w:r>
      <w:r>
        <w:rPr>
          <w:rFonts w:ascii="Arial" w:cs="Arial" w:eastAsia="Arial" w:hAnsi="Arial"/>
          <w:sz w:val="22"/>
          <w:szCs w:val="22"/>
        </w:rPr>
        <w:t xml:space="preserve">. NVIDIA Technical Blog. https://developer.nvidia.com/blog/cuda-graphs/</w:t>
      </w:r>
    </w:p>
    <w:p>
      <w:pPr>
        <w:spacing w:after="120" w:line="276"/>
        <w:ind w:left="720" w:hanging="720"/>
      </w:pPr>
      <w:r>
        <w:rPr>
          <w:rFonts w:ascii="Arial" w:cs="Arial" w:eastAsia="Arial" w:hAnsi="Arial"/>
          <w:sz w:val="22"/>
          <w:szCs w:val="22"/>
        </w:rPr>
        <w:t xml:space="preserve">Gupta, K., Stuart, J. A., &amp; Owens, J. D. (2012). A study of persistent threads style GPU programming for GPGPU workloads. In </w:t>
      </w:r>
      <w:r>
        <w:rPr>
          <w:rFonts w:ascii="Arial" w:cs="Arial" w:eastAsia="Arial" w:hAnsi="Arial"/>
          <w:i/>
          <w:iCs/>
          <w:sz w:val="22"/>
          <w:szCs w:val="22"/>
        </w:rPr>
        <w:t xml:space="preserve">2012 Innovative Parallel Computing (InPar)</w:t>
      </w:r>
      <w:r>
        <w:rPr>
          <w:rFonts w:ascii="Arial" w:cs="Arial" w:eastAsia="Arial" w:hAnsi="Arial"/>
          <w:sz w:val="22"/>
          <w:szCs w:val="22"/>
        </w:rPr>
        <w:t xml:space="preserve"> (pp. 1–14). IEEE. https://doi.org/10.1109/InPar.2012.6339596</w:t>
      </w:r>
    </w:p>
    <w:p>
      <w:pPr>
        <w:spacing w:after="120" w:line="276"/>
        <w:ind w:left="720" w:hanging="720"/>
      </w:pPr>
      <w:r>
        <w:rPr>
          <w:rFonts w:ascii="Arial" w:cs="Arial" w:eastAsia="Arial" w:hAnsi="Arial"/>
          <w:sz w:val="22"/>
          <w:szCs w:val="22"/>
        </w:rPr>
        <w:t xml:space="preserve">Hafner, D., Lillicrap, T., Fischer, I., Villegas, R., Ha, D., Lee, H., &amp; Davidson, J. (2019). Learning latent dynamics for planning from pixels. In </w:t>
      </w:r>
      <w:r>
        <w:rPr>
          <w:rFonts w:ascii="Arial" w:cs="Arial" w:eastAsia="Arial" w:hAnsi="Arial"/>
          <w:i/>
          <w:iCs/>
          <w:sz w:val="22"/>
          <w:szCs w:val="22"/>
        </w:rPr>
        <w:t xml:space="preserve">Proceedings of the 36th International Conference on Machine Learning</w:t>
      </w:r>
      <w:r>
        <w:rPr>
          <w:rFonts w:ascii="Arial" w:cs="Arial" w:eastAsia="Arial" w:hAnsi="Arial"/>
          <w:sz w:val="22"/>
          <w:szCs w:val="22"/>
        </w:rPr>
        <w:t xml:space="preserve"> (Vol. 97, pp. 2555–2565). PMLR. https://proceedings.mlr.press/v97/hafner19a.html</w:t>
      </w:r>
    </w:p>
    <w:p>
      <w:pPr>
        <w:spacing w:after="120" w:line="276"/>
        <w:ind w:left="720" w:hanging="720"/>
      </w:pPr>
      <w:r>
        <w:rPr>
          <w:rFonts w:ascii="Arial" w:cs="Arial" w:eastAsia="Arial" w:hAnsi="Arial"/>
          <w:sz w:val="22"/>
          <w:szCs w:val="22"/>
        </w:rPr>
        <w:t xml:space="preserve">Hansen, N. A., Su, H., &amp; Wang, X. (2022). Temporal difference learning for model predictive control. In </w:t>
      </w:r>
      <w:r>
        <w:rPr>
          <w:rFonts w:ascii="Arial" w:cs="Arial" w:eastAsia="Arial" w:hAnsi="Arial"/>
          <w:i/>
          <w:iCs/>
          <w:sz w:val="22"/>
          <w:szCs w:val="22"/>
        </w:rPr>
        <w:t xml:space="preserve">Proceedings of the 39th International Conference on Machine Learning</w:t>
      </w:r>
      <w:r>
        <w:rPr>
          <w:rFonts w:ascii="Arial" w:cs="Arial" w:eastAsia="Arial" w:hAnsi="Arial"/>
          <w:sz w:val="22"/>
          <w:szCs w:val="22"/>
        </w:rPr>
        <w:t xml:space="preserve"> (Vol. 162, pp. 8387–8406). PMLR. https://proceedings.mlr.press/v162/hansen22a.html</w:t>
      </w:r>
    </w:p>
    <w:p>
      <w:pPr>
        <w:spacing w:after="120" w:line="276"/>
        <w:ind w:left="720" w:hanging="720"/>
      </w:pPr>
      <w:r>
        <w:rPr>
          <w:rFonts w:ascii="Arial" w:cs="Arial" w:eastAsia="Arial" w:hAnsi="Arial"/>
          <w:sz w:val="22"/>
          <w:szCs w:val="22"/>
        </w:rPr>
        <w:t xml:space="preserve">Huang, K., Lale, S., Rosolia, U., Shi, Y., &amp; Anandkumar, A. (2021). </w:t>
      </w:r>
      <w:r>
        <w:rPr>
          <w:rFonts w:ascii="Arial" w:cs="Arial" w:eastAsia="Arial" w:hAnsi="Arial"/>
          <w:i/>
          <w:iCs/>
          <w:sz w:val="22"/>
          <w:szCs w:val="22"/>
        </w:rPr>
        <w:t xml:space="preserve">CEM-GD: Cross-entropy method with gradient descent planner for model-based reinforcement learning</w:t>
      </w:r>
      <w:r>
        <w:rPr>
          <w:rFonts w:ascii="Arial" w:cs="Arial" w:eastAsia="Arial" w:hAnsi="Arial"/>
          <w:sz w:val="22"/>
          <w:szCs w:val="22"/>
        </w:rPr>
        <w:t xml:space="preserve"> (arXiv:2112.07746). arXiv. https://doi.org/10.48550/arXiv.2112.07746</w:t>
      </w:r>
    </w:p>
    <w:p>
      <w:pPr>
        <w:spacing w:after="120" w:line="276"/>
        <w:ind w:left="720" w:hanging="720"/>
      </w:pPr>
      <w:r>
        <w:rPr>
          <w:rFonts w:ascii="Arial" w:cs="Arial" w:eastAsia="Arial" w:hAnsi="Arial"/>
          <w:sz w:val="22"/>
          <w:szCs w:val="22"/>
        </w:rPr>
        <w:t xml:space="preserve">Ivanov, A., Dryden, N., Ben-Nun, T., Li, S., &amp; Hoefler, T. (2021). Data movement is all you need: A case study on optimizing transformers. In </w:t>
      </w:r>
      <w:r>
        <w:rPr>
          <w:rFonts w:ascii="Arial" w:cs="Arial" w:eastAsia="Arial" w:hAnsi="Arial"/>
          <w:i/>
          <w:iCs/>
          <w:sz w:val="22"/>
          <w:szCs w:val="22"/>
        </w:rPr>
        <w:t xml:space="preserve">Proceedings of Machine Learning and Systems 3</w:t>
      </w:r>
      <w:r>
        <w:rPr>
          <w:rFonts w:ascii="Arial" w:cs="Arial" w:eastAsia="Arial" w:hAnsi="Arial"/>
          <w:sz w:val="22"/>
          <w:szCs w:val="22"/>
        </w:rPr>
        <w:t xml:space="preserve"> (MLSys 2021). https://doi.org/10.48550/arXiv.2007.00072</w:t>
      </w:r>
    </w:p>
    <w:p>
      <w:pPr>
        <w:spacing w:after="120" w:line="276"/>
        <w:ind w:left="720" w:hanging="720"/>
      </w:pPr>
      <w:r>
        <w:rPr>
          <w:rFonts w:ascii="Arial" w:cs="Arial" w:eastAsia="Arial" w:hAnsi="Arial"/>
          <w:sz w:val="22"/>
          <w:szCs w:val="22"/>
        </w:rPr>
        <w:t xml:space="preserve">Jin, H., Hou, B., Wang, G., Lai, R., Chen, J., Ye, Z., Cai, Y., Dong, Y., Cheng, X., Zhang, Z., Zhao, Y., Huang, Y., Yang, L., Jiang, J., Oliaro, G., Ji, J., Miao, X., Grover, V., Mowry, T. C., . . . Chen, T. (2026). </w:t>
      </w:r>
      <w:r>
        <w:rPr>
          <w:rFonts w:ascii="Arial" w:cs="Arial" w:eastAsia="Arial" w:hAnsi="Arial"/>
          <w:i/>
          <w:iCs/>
          <w:sz w:val="22"/>
          <w:szCs w:val="22"/>
        </w:rPr>
        <w:t xml:space="preserve">Event Tensor: A unified abstraction for compiling dynamic megakernel</w:t>
      </w:r>
      <w:r>
        <w:rPr>
          <w:rFonts w:ascii="Arial" w:cs="Arial" w:eastAsia="Arial" w:hAnsi="Arial"/>
          <w:sz w:val="22"/>
          <w:szCs w:val="22"/>
        </w:rPr>
        <w:t xml:space="preserve"> (arXiv:2604.13327). arXiv. https://doi.org/10.48550/arXiv.2604.13327</w:t>
      </w:r>
    </w:p>
    <w:p>
      <w:pPr>
        <w:spacing w:after="120" w:line="276"/>
        <w:ind w:left="720" w:hanging="720"/>
      </w:pPr>
      <w:r>
        <w:rPr>
          <w:rFonts w:ascii="Arial" w:cs="Arial" w:eastAsia="Arial" w:hAnsi="Arial"/>
          <w:sz w:val="22"/>
          <w:szCs w:val="22"/>
        </w:rPr>
        <w:t xml:space="preserve">Kalamkar, D., Mudigere, D., Mellempudi, N., Das, D., Banerjee, K., Avancha, S., Vooturi, D. T., Jammalamadaka, N., Huang, J., Yuen, H., Yang, J., Park, J., Heinecke, A., Georganas, E., Srinivasan, S., Kundu, A., Smelyanskiy, M., Kaul, B., &amp; Dubey, P. (2019). </w:t>
      </w:r>
      <w:r>
        <w:rPr>
          <w:rFonts w:ascii="Arial" w:cs="Arial" w:eastAsia="Arial" w:hAnsi="Arial"/>
          <w:i/>
          <w:iCs/>
          <w:sz w:val="22"/>
          <w:szCs w:val="22"/>
        </w:rPr>
        <w:t xml:space="preserve">A study of BFLOAT16 for deep learning training</w:t>
      </w:r>
      <w:r>
        <w:rPr>
          <w:rFonts w:ascii="Arial" w:cs="Arial" w:eastAsia="Arial" w:hAnsi="Arial"/>
          <w:sz w:val="22"/>
          <w:szCs w:val="22"/>
        </w:rPr>
        <w:t xml:space="preserve"> (arXiv:1905.12322). arXiv. https://doi.org/10.48550/arXiv.1905.12322</w:t>
      </w:r>
    </w:p>
    <w:p>
      <w:pPr>
        <w:spacing w:after="120" w:line="276"/>
        <w:ind w:left="720" w:hanging="720"/>
      </w:pPr>
      <w:r>
        <w:rPr>
          <w:rFonts w:ascii="Arial" w:cs="Arial" w:eastAsia="Arial" w:hAnsi="Arial"/>
          <w:sz w:val="22"/>
          <w:szCs w:val="22"/>
        </w:rPr>
        <w:t xml:space="preserve">Luo, W., Fan, R., Li, Z., Du, D., Wang, Q., &amp; Chu, X. (2024). Benchmarking and dissecting the Nvidia Hopper GPU architecture. In </w:t>
      </w:r>
      <w:r>
        <w:rPr>
          <w:rFonts w:ascii="Arial" w:cs="Arial" w:eastAsia="Arial" w:hAnsi="Arial"/>
          <w:i/>
          <w:iCs/>
          <w:sz w:val="22"/>
          <w:szCs w:val="22"/>
        </w:rPr>
        <w:t xml:space="preserve">2024 IEEE International Parallel and Distributed Processing Symposium (IPDPS)</w:t>
      </w:r>
      <w:r>
        <w:rPr>
          <w:rFonts w:ascii="Arial" w:cs="Arial" w:eastAsia="Arial" w:hAnsi="Arial"/>
          <w:sz w:val="22"/>
          <w:szCs w:val="22"/>
        </w:rPr>
        <w:t xml:space="preserve"> (pp. 656–667). IEEE. https://doi.org/10.1109/IPDPS57955.2024.00064</w:t>
      </w:r>
    </w:p>
    <w:p>
      <w:pPr>
        <w:spacing w:after="120" w:line="276"/>
        <w:ind w:left="720" w:hanging="720"/>
      </w:pPr>
      <w:r>
        <w:rPr>
          <w:rFonts w:ascii="Arial" w:cs="Arial" w:eastAsia="Arial" w:hAnsi="Arial"/>
          <w:sz w:val="22"/>
          <w:szCs w:val="22"/>
        </w:rPr>
        <w:t xml:space="preserve">Maes, L., Le Lidec, Q., Facury, L., Massaudi, N., Chaurasia, A., Capuano, F., Gao, R., Gillin, T., Haramati, D., Scieur, D., LeCun, Y., &amp; Balestriero, R. (2026). </w:t>
      </w:r>
      <w:r>
        <w:rPr>
          <w:rFonts w:ascii="Arial" w:cs="Arial" w:eastAsia="Arial" w:hAnsi="Arial"/>
          <w:i/>
          <w:iCs/>
          <w:sz w:val="22"/>
          <w:szCs w:val="22"/>
        </w:rPr>
        <w:t xml:space="preserve">stable-worldmodel: A platform for reproducible world modeling research and evaluation</w:t>
      </w:r>
      <w:r>
        <w:rPr>
          <w:rFonts w:ascii="Arial" w:cs="Arial" w:eastAsia="Arial" w:hAnsi="Arial"/>
          <w:sz w:val="22"/>
          <w:szCs w:val="22"/>
        </w:rPr>
        <w:t xml:space="preserve"> (arXiv:2605.21800). arXiv. https://doi.org/10.48550/arXiv.2605.21800</w:t>
      </w:r>
    </w:p>
    <w:p>
      <w:pPr>
        <w:spacing w:after="120" w:line="276"/>
        <w:ind w:left="720" w:hanging="720"/>
      </w:pPr>
      <w:r>
        <w:rPr>
          <w:rFonts w:ascii="Arial" w:cs="Arial" w:eastAsia="Arial" w:hAnsi="Arial"/>
          <w:sz w:val="22"/>
          <w:szCs w:val="22"/>
        </w:rPr>
        <w:t xml:space="preserve">Maes, L., Le Lidec, Q., Scieur, D., LeCun, Y., &amp; Balestriero, R. (2026). </w:t>
      </w:r>
      <w:r>
        <w:rPr>
          <w:rFonts w:ascii="Arial" w:cs="Arial" w:eastAsia="Arial" w:hAnsi="Arial"/>
          <w:i/>
          <w:iCs/>
          <w:sz w:val="22"/>
          <w:szCs w:val="22"/>
        </w:rPr>
        <w:t xml:space="preserve">LeWorldModel: Stable end-to-end joint-embedding predictive architecture from pixels</w:t>
      </w:r>
      <w:r>
        <w:rPr>
          <w:rFonts w:ascii="Arial" w:cs="Arial" w:eastAsia="Arial" w:hAnsi="Arial"/>
          <w:sz w:val="22"/>
          <w:szCs w:val="22"/>
        </w:rPr>
        <w:t xml:space="preserve"> (arXiv:2603.19312). arXiv. https://doi.org/10.48550/arXiv.2603.19312</w:t>
      </w:r>
    </w:p>
    <w:p>
      <w:pPr>
        <w:spacing w:after="120" w:line="276"/>
        <w:ind w:left="720" w:hanging="720"/>
      </w:pPr>
      <w:r>
        <w:rPr>
          <w:rFonts w:ascii="Arial" w:cs="Arial" w:eastAsia="Arial" w:hAnsi="Arial"/>
          <w:sz w:val="22"/>
          <w:szCs w:val="22"/>
        </w:rPr>
        <w:t xml:space="preserve">McNemar, Q. (1947). Note on the sampling error of the difference between correlated proportions or percentages. </w:t>
      </w:r>
      <w:r>
        <w:rPr>
          <w:rFonts w:ascii="Arial" w:cs="Arial" w:eastAsia="Arial" w:hAnsi="Arial"/>
          <w:i/>
          <w:iCs/>
          <w:sz w:val="22"/>
          <w:szCs w:val="22"/>
        </w:rPr>
        <w:t xml:space="preserve">Psychometrika, 12</w:t>
      </w:r>
      <w:r>
        <w:rPr>
          <w:rFonts w:ascii="Arial" w:cs="Arial" w:eastAsia="Arial" w:hAnsi="Arial"/>
          <w:sz w:val="22"/>
          <w:szCs w:val="22"/>
        </w:rPr>
        <w:t xml:space="preserve">(2), 153–157. https://doi.org/10.1007/BF02295996</w:t>
      </w:r>
    </w:p>
    <w:p>
      <w:pPr>
        <w:spacing w:after="120" w:line="276"/>
        <w:ind w:left="720" w:hanging="720"/>
      </w:pPr>
      <w:r>
        <w:rPr>
          <w:rFonts w:ascii="Arial" w:cs="Arial" w:eastAsia="Arial" w:hAnsi="Arial"/>
          <w:sz w:val="22"/>
          <w:szCs w:val="22"/>
        </w:rPr>
        <w:t xml:space="preserve">Micikevicius, P., Narang, S., Alben, J., Diamos, G., Elsen, E., Garcia, D., Ginsburg, B., Houston, M., Kuchaiev, O., Venkatesh, G., &amp; Wu, H. (2018). Mixed precision training. In </w:t>
      </w:r>
      <w:r>
        <w:rPr>
          <w:rFonts w:ascii="Arial" w:cs="Arial" w:eastAsia="Arial" w:hAnsi="Arial"/>
          <w:i/>
          <w:iCs/>
          <w:sz w:val="22"/>
          <w:szCs w:val="22"/>
        </w:rPr>
        <w:t xml:space="preserve">International Conference on Learning Representations</w:t>
      </w:r>
      <w:r>
        <w:rPr>
          <w:rFonts w:ascii="Arial" w:cs="Arial" w:eastAsia="Arial" w:hAnsi="Arial"/>
          <w:sz w:val="22"/>
          <w:szCs w:val="22"/>
        </w:rPr>
        <w:t xml:space="preserve">. https://openreview.net/forum?id=r1gs9JgRZ</w:t>
      </w:r>
    </w:p>
    <w:p>
      <w:pPr>
        <w:spacing w:after="120" w:line="276"/>
        <w:ind w:left="720" w:hanging="720"/>
      </w:pPr>
      <w:r>
        <w:rPr>
          <w:rFonts w:ascii="Arial" w:cs="Arial" w:eastAsia="Arial" w:hAnsi="Arial"/>
          <w:sz w:val="22"/>
          <w:szCs w:val="22"/>
        </w:rPr>
        <w:t xml:space="preserve">Nguyen, H., Xu, X., &amp; Huang, X. (2026). </w:t>
      </w:r>
      <w:r>
        <w:rPr>
          <w:rFonts w:ascii="Arial" w:cs="Arial" w:eastAsia="Arial" w:hAnsi="Arial"/>
          <w:i/>
          <w:iCs/>
          <w:sz w:val="22"/>
          <w:szCs w:val="22"/>
        </w:rPr>
        <w:t xml:space="preserve">Latent geometry beyond search: Amortizing planning in world models</w:t>
      </w:r>
      <w:r>
        <w:rPr>
          <w:rFonts w:ascii="Arial" w:cs="Arial" w:eastAsia="Arial" w:hAnsi="Arial"/>
          <w:sz w:val="22"/>
          <w:szCs w:val="22"/>
        </w:rPr>
        <w:t xml:space="preserve"> (arXiv:2605.08732). arXiv. https://doi.org/10.48550/arXiv.2605.08732</w:t>
      </w:r>
    </w:p>
    <w:p>
      <w:pPr>
        <w:spacing w:after="120" w:line="276"/>
        <w:ind w:left="720" w:hanging="720"/>
      </w:pPr>
      <w:r>
        <w:rPr>
          <w:rFonts w:ascii="Arial" w:cs="Arial" w:eastAsia="Arial" w:hAnsi="Arial"/>
          <w:sz w:val="22"/>
          <w:szCs w:val="22"/>
        </w:rPr>
        <w:t xml:space="preserve">Nrusimha, A., Brandon, W., Mishra, M., Shen, Y., Panda, R., Ragan-Kelley, J., &amp; Kim, Y. (2025). </w:t>
      </w:r>
      <w:r>
        <w:rPr>
          <w:rFonts w:ascii="Arial" w:cs="Arial" w:eastAsia="Arial" w:hAnsi="Arial"/>
          <w:i/>
          <w:iCs/>
          <w:sz w:val="22"/>
          <w:szCs w:val="22"/>
        </w:rPr>
        <w:t xml:space="preserve">FlashFormer: Whole-model kernels for efficient low-batch inference</w:t>
      </w:r>
      <w:r>
        <w:rPr>
          <w:rFonts w:ascii="Arial" w:cs="Arial" w:eastAsia="Arial" w:hAnsi="Arial"/>
          <w:sz w:val="22"/>
          <w:szCs w:val="22"/>
        </w:rPr>
        <w:t xml:space="preserve"> (arXiv:2505.22758). arXiv. https://doi.org/10.48550/arXiv.2505.22758</w:t>
      </w:r>
    </w:p>
    <w:p>
      <w:pPr>
        <w:spacing w:after="120" w:line="276"/>
        <w:ind w:left="720" w:hanging="720"/>
      </w:pPr>
      <w:r>
        <w:rPr>
          <w:rFonts w:ascii="Arial" w:cs="Arial" w:eastAsia="Arial" w:hAnsi="Arial"/>
          <w:sz w:val="22"/>
          <w:szCs w:val="22"/>
        </w:rPr>
        <w:t xml:space="preserve">Oquab, M., Darcet, T., Moutakanni, T., Vo, H. V., Szafraniec, M., Khalidov, V., Fernandez, P., Haziza, D., Massa, F., El-Nouby, A., Assran, M., Ballas, N., Galuba, W., Howes, R., Huang, P.-Y., Li, S.-W., Misra, I., Rabbat, M., Sharma, V., . . . Bojanowski, P. (2024). DINOv2: Learning robust visual features without supervision.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https://openreview.net/forum?id=a68SUt6zFt</w:t>
      </w:r>
    </w:p>
    <w:p>
      <w:pPr>
        <w:spacing w:after="120" w:line="276"/>
        <w:ind w:left="720" w:hanging="720"/>
      </w:pPr>
      <w:r>
        <w:rPr>
          <w:rFonts w:ascii="Arial" w:cs="Arial" w:eastAsia="Arial" w:hAnsi="Arial"/>
          <w:sz w:val="22"/>
          <w:szCs w:val="22"/>
        </w:rPr>
        <w:t xml:space="preserve">Peebles, W., &amp; Xie, S. (2023). Scalable diffusion models with transformers. In </w:t>
      </w:r>
      <w:r>
        <w:rPr>
          <w:rFonts w:ascii="Arial" w:cs="Arial" w:eastAsia="Arial" w:hAnsi="Arial"/>
          <w:i/>
          <w:iCs/>
          <w:sz w:val="22"/>
          <w:szCs w:val="22"/>
        </w:rPr>
        <w:t xml:space="preserve">Proceedings of the IEEE/CVF International Conference on Computer Vision (ICCV)</w:t>
      </w:r>
      <w:r>
        <w:rPr>
          <w:rFonts w:ascii="Arial" w:cs="Arial" w:eastAsia="Arial" w:hAnsi="Arial"/>
          <w:sz w:val="22"/>
          <w:szCs w:val="22"/>
        </w:rPr>
        <w:t xml:space="preserve"> (pp. 4172–4182). IEEE. https://doi.org/10.1109/ICCV51070.2023.00387</w:t>
      </w:r>
    </w:p>
    <w:p>
      <w:pPr>
        <w:spacing w:after="120" w:line="276"/>
        <w:ind w:left="720" w:hanging="720"/>
      </w:pPr>
      <w:r>
        <w:rPr>
          <w:rFonts w:ascii="Arial" w:cs="Arial" w:eastAsia="Arial" w:hAnsi="Arial"/>
          <w:sz w:val="22"/>
          <w:szCs w:val="22"/>
        </w:rPr>
        <w:t xml:space="preserve">Pinneri, C., Sawant, S., Blaes, S., Achterhold, J., Stueckler, J., Rolinek, M., &amp; Martius, G. (2021). Sample-efficient cross-entropy method for real-time planning. In </w:t>
      </w:r>
      <w:r>
        <w:rPr>
          <w:rFonts w:ascii="Arial" w:cs="Arial" w:eastAsia="Arial" w:hAnsi="Arial"/>
          <w:i/>
          <w:iCs/>
          <w:sz w:val="22"/>
          <w:szCs w:val="22"/>
        </w:rPr>
        <w:t xml:space="preserve">Proceedings of the 2020 Conference on Robot Learning</w:t>
      </w:r>
      <w:r>
        <w:rPr>
          <w:rFonts w:ascii="Arial" w:cs="Arial" w:eastAsia="Arial" w:hAnsi="Arial"/>
          <w:sz w:val="22"/>
          <w:szCs w:val="22"/>
        </w:rPr>
        <w:t xml:space="preserve"> (Vol. 155, pp. 1049–1065). PMLR. https://proceedings.mlr.press/v155/pinneri21a.html</w:t>
      </w:r>
    </w:p>
    <w:p>
      <w:pPr>
        <w:spacing w:after="120" w:line="276"/>
        <w:ind w:left="720" w:hanging="720"/>
      </w:pPr>
      <w:r>
        <w:rPr>
          <w:rFonts w:ascii="Arial" w:cs="Arial" w:eastAsia="Arial" w:hAnsi="Arial"/>
          <w:sz w:val="22"/>
          <w:szCs w:val="22"/>
        </w:rPr>
        <w:t xml:space="preserve">Pope, R., Douglas, S., Chowdhery, A., Devlin, J., Bradbury, J., Heek, J., Xiao, K., Agrawal, S., &amp; Dean, J. (2023). Efficiently scaling transformer inference. In </w:t>
      </w:r>
      <w:r>
        <w:rPr>
          <w:rFonts w:ascii="Arial" w:cs="Arial" w:eastAsia="Arial" w:hAnsi="Arial"/>
          <w:i/>
          <w:iCs/>
          <w:sz w:val="22"/>
          <w:szCs w:val="22"/>
        </w:rPr>
        <w:t xml:space="preserve">Proceedings of Machine Learning and Systems 5</w:t>
      </w:r>
      <w:r>
        <w:rPr>
          <w:rFonts w:ascii="Arial" w:cs="Arial" w:eastAsia="Arial" w:hAnsi="Arial"/>
          <w:sz w:val="22"/>
          <w:szCs w:val="22"/>
        </w:rPr>
        <w:t xml:space="preserve"> (MLSys 2023). https://proceedings.mlsys.org/paper_files/paper/2023/hash/c4be71ab8d24cdfb45e3d06dbfca2780-Abstract-mlsys2023.html</w:t>
      </w:r>
    </w:p>
    <w:p>
      <w:pPr>
        <w:spacing w:after="120" w:line="276"/>
        <w:ind w:left="720" w:hanging="720"/>
      </w:pPr>
      <w:r>
        <w:rPr>
          <w:rFonts w:ascii="Arial" w:cs="Arial" w:eastAsia="Arial" w:hAnsi="Arial"/>
          <w:sz w:val="22"/>
          <w:szCs w:val="22"/>
        </w:rPr>
        <w:t xml:space="preserve">Rubinstein, R. (1999). The cross-entropy method for combinatorial and continuous optimization. </w:t>
      </w:r>
      <w:r>
        <w:rPr>
          <w:rFonts w:ascii="Arial" w:cs="Arial" w:eastAsia="Arial" w:hAnsi="Arial"/>
          <w:i/>
          <w:iCs/>
          <w:sz w:val="22"/>
          <w:szCs w:val="22"/>
        </w:rPr>
        <w:t xml:space="preserve">Methodology and Computing in Applied Probability, 1</w:t>
      </w:r>
      <w:r>
        <w:rPr>
          <w:rFonts w:ascii="Arial" w:cs="Arial" w:eastAsia="Arial" w:hAnsi="Arial"/>
          <w:sz w:val="22"/>
          <w:szCs w:val="22"/>
        </w:rPr>
        <w:t xml:space="preserve">(2), 127–190. https://doi.org/10.1023/A:1010091220143</w:t>
      </w:r>
    </w:p>
    <w:p>
      <w:pPr>
        <w:spacing w:after="120" w:line="276"/>
        <w:ind w:left="720" w:hanging="720"/>
      </w:pPr>
      <w:r>
        <w:rPr>
          <w:rFonts w:ascii="Arial" w:cs="Arial" w:eastAsia="Arial" w:hAnsi="Arial"/>
          <w:sz w:val="22"/>
          <w:szCs w:val="22"/>
        </w:rPr>
        <w:t xml:space="preserve">Salmon, J. K., Moraes, M. A., Dror, R. O., &amp; Shaw, D. E. (2011). Parallel random numbers: As easy as 1, 2, 3. In </w:t>
      </w:r>
      <w:r>
        <w:rPr>
          <w:rFonts w:ascii="Arial" w:cs="Arial" w:eastAsia="Arial" w:hAnsi="Arial"/>
          <w:i/>
          <w:iCs/>
          <w:sz w:val="22"/>
          <w:szCs w:val="22"/>
        </w:rPr>
        <w:t xml:space="preserve">Proceedings of the 2011 International Conference for High Performance Computing, Networking, Storage and Analysis</w:t>
      </w:r>
      <w:r>
        <w:rPr>
          <w:rFonts w:ascii="Arial" w:cs="Arial" w:eastAsia="Arial" w:hAnsi="Arial"/>
          <w:sz w:val="22"/>
          <w:szCs w:val="22"/>
        </w:rPr>
        <w:t xml:space="preserve"> (Article 16). ACM. https://doi.org/10.1145/2063384.2063405</w:t>
      </w:r>
    </w:p>
    <w:p>
      <w:pPr>
        <w:spacing w:after="120" w:line="276"/>
        <w:ind w:left="720" w:hanging="720"/>
      </w:pPr>
      <w:r>
        <w:rPr>
          <w:rFonts w:ascii="Arial" w:cs="Arial" w:eastAsia="Arial" w:hAnsi="Arial"/>
          <w:sz w:val="22"/>
          <w:szCs w:val="22"/>
        </w:rPr>
        <w:t xml:space="preserve">Shah, J., Bikshandi, G., Zhang, Y., Thakkar, V., Ramani, P., &amp; Dao, T. (2024). FlashAttention-3: Fast and accurate attention with asynchrony and low-precision. In </w:t>
      </w:r>
      <w:r>
        <w:rPr>
          <w:rFonts w:ascii="Arial" w:cs="Arial" w:eastAsia="Arial" w:hAnsi="Arial"/>
          <w:i/>
          <w:iCs/>
          <w:sz w:val="22"/>
          <w:szCs w:val="22"/>
        </w:rPr>
        <w:t xml:space="preserve">Advances in Neural Information Processing Systems 37</w:t>
      </w:r>
      <w:r>
        <w:rPr>
          <w:rFonts w:ascii="Arial" w:cs="Arial" w:eastAsia="Arial" w:hAnsi="Arial"/>
          <w:sz w:val="22"/>
          <w:szCs w:val="22"/>
        </w:rPr>
        <w:t xml:space="preserve"> (pp. 68658–68685). Curran Associates. https://doi.org/10.52202/079017-2193</w:t>
      </w:r>
    </w:p>
    <w:p>
      <w:pPr>
        <w:spacing w:after="120" w:line="276"/>
        <w:ind w:left="720" w:hanging="720"/>
      </w:pPr>
      <w:r>
        <w:rPr>
          <w:rFonts w:ascii="Arial" w:cs="Arial" w:eastAsia="Arial" w:hAnsi="Arial"/>
          <w:sz w:val="22"/>
          <w:szCs w:val="22"/>
        </w:rPr>
        <w:t xml:space="preserve">Sobal, U., Zhang, W., Cho, K., Balestriero, R., Rudner, T. G. J., &amp; LeCun, Y. (2025). Learning from reward-free offline data: A case for planning with latent dynamics models. In </w:t>
      </w:r>
      <w:r>
        <w:rPr>
          <w:rFonts w:ascii="Arial" w:cs="Arial" w:eastAsia="Arial" w:hAnsi="Arial"/>
          <w:i/>
          <w:iCs/>
          <w:sz w:val="22"/>
          <w:szCs w:val="22"/>
        </w:rPr>
        <w:t xml:space="preserve">Advances in Neural Information Processing Systems 38</w:t>
      </w:r>
      <w:r>
        <w:rPr>
          <w:rFonts w:ascii="Arial" w:cs="Arial" w:eastAsia="Arial" w:hAnsi="Arial"/>
          <w:sz w:val="22"/>
          <w:szCs w:val="22"/>
        </w:rPr>
        <w:t xml:space="preserve"> (pp. 49126–49162). Curran Associates. https://doi.org/10.52202/085713-1465</w:t>
      </w:r>
    </w:p>
    <w:p>
      <w:pPr>
        <w:spacing w:after="120" w:line="276"/>
        <w:ind w:left="720" w:hanging="720"/>
      </w:pPr>
      <w:r>
        <w:rPr>
          <w:rFonts w:ascii="Arial" w:cs="Arial" w:eastAsia="Arial" w:hAnsi="Arial"/>
          <w:sz w:val="22"/>
          <w:szCs w:val="22"/>
        </w:rPr>
        <w:t xml:space="preserve">Spector, B., Juravsky, J., Sul, S., Dugan, O., Lim, D., Fu, D., Arora, S., &amp; Ré, C. (2025, May 27). </w:t>
      </w:r>
      <w:r>
        <w:rPr>
          <w:rFonts w:ascii="Arial" w:cs="Arial" w:eastAsia="Arial" w:hAnsi="Arial"/>
          <w:i/>
          <w:iCs/>
          <w:sz w:val="22"/>
          <w:szCs w:val="22"/>
        </w:rPr>
        <w:t xml:space="preserve">Look ma, no bubbles! Designing a low-latency megakernel for Llama-1B</w:t>
      </w:r>
      <w:r>
        <w:rPr>
          <w:rFonts w:ascii="Arial" w:cs="Arial" w:eastAsia="Arial" w:hAnsi="Arial"/>
          <w:sz w:val="22"/>
          <w:szCs w:val="22"/>
        </w:rPr>
        <w:t xml:space="preserve">. Hazy Research Blog, Stanford University. https://hazyresearch.stanford.edu/blog/2025-05-27-no-bubbles</w:t>
      </w:r>
    </w:p>
    <w:p>
      <w:pPr>
        <w:spacing w:after="120" w:line="276"/>
        <w:ind w:left="720" w:hanging="720"/>
      </w:pPr>
      <w:r>
        <w:rPr>
          <w:rFonts w:ascii="Arial" w:cs="Arial" w:eastAsia="Arial" w:hAnsi="Arial"/>
          <w:sz w:val="22"/>
          <w:szCs w:val="22"/>
        </w:rPr>
        <w:t xml:space="preserve">Spector, B. F., Arora, S., Singhal, A., Parthasarathy, A., Fu, D. Y., &amp; Ré, C. (2025). ThunderKittens: Simple, fast, and </w:t>
      </w:r>
      <w:r>
        <w:rPr>
          <w:rFonts w:ascii="Arial" w:cs="Arial" w:eastAsia="Arial" w:hAnsi="Arial"/>
          <w:i/>
          <w:iCs/>
          <w:sz w:val="22"/>
          <w:szCs w:val="22"/>
        </w:rPr>
        <w:t xml:space="preserve">adorable</w:t>
      </w:r>
      <w:r>
        <w:rPr>
          <w:rFonts w:ascii="Arial" w:cs="Arial" w:eastAsia="Arial" w:hAnsi="Arial"/>
          <w:sz w:val="22"/>
          <w:szCs w:val="22"/>
        </w:rPr>
        <w:t xml:space="preserve"> kernels. In </w:t>
      </w:r>
      <w:r>
        <w:rPr>
          <w:rFonts w:ascii="Arial" w:cs="Arial" w:eastAsia="Arial" w:hAnsi="Arial"/>
          <w:i/>
          <w:iCs/>
          <w:sz w:val="22"/>
          <w:szCs w:val="22"/>
        </w:rPr>
        <w:t xml:space="preserve">The Thirteenth International Conference on Learning Representations</w:t>
      </w:r>
      <w:r>
        <w:rPr>
          <w:rFonts w:ascii="Arial" w:cs="Arial" w:eastAsia="Arial" w:hAnsi="Arial"/>
          <w:sz w:val="22"/>
          <w:szCs w:val="22"/>
        </w:rPr>
        <w:t xml:space="preserve">. https://openreview.net/forum?id=0fJfVOSUra</w:t>
      </w:r>
    </w:p>
    <w:p>
      <w:pPr>
        <w:spacing w:after="120" w:line="276"/>
        <w:ind w:left="720" w:hanging="720"/>
      </w:pPr>
      <w:r>
        <w:rPr>
          <w:rFonts w:ascii="Arial" w:cs="Arial" w:eastAsia="Arial" w:hAnsi="Arial"/>
          <w:sz w:val="22"/>
          <w:szCs w:val="22"/>
        </w:rPr>
        <w:t xml:space="preserve">Sundaralingam, B., Hari, S. K. S., Fishman, A., Garrett, C., Van Wyk, K., Blukis, V., Millane, A., Oleynikova, H., Handa, A., Ramos, F., Ratliff, N., &amp; Fox, D. (2023). </w:t>
      </w:r>
      <w:r>
        <w:rPr>
          <w:rFonts w:ascii="Arial" w:cs="Arial" w:eastAsia="Arial" w:hAnsi="Arial"/>
          <w:i/>
          <w:iCs/>
          <w:sz w:val="22"/>
          <w:szCs w:val="22"/>
        </w:rPr>
        <w:t xml:space="preserve">cuRobo: Parallelized collision-free minimum-jerk robot motion generation</w:t>
      </w:r>
      <w:r>
        <w:rPr>
          <w:rFonts w:ascii="Arial" w:cs="Arial" w:eastAsia="Arial" w:hAnsi="Arial"/>
          <w:sz w:val="22"/>
          <w:szCs w:val="22"/>
        </w:rPr>
        <w:t xml:space="preserve"> (arXiv:2310.17274). arXiv. https://doi.org/10.48550/arXiv.2310.17274</w:t>
      </w:r>
    </w:p>
    <w:p>
      <w:pPr>
        <w:spacing w:after="120" w:line="276"/>
        <w:ind w:left="720" w:hanging="720"/>
      </w:pPr>
      <w:r>
        <w:rPr>
          <w:rFonts w:ascii="Arial" w:cs="Arial" w:eastAsia="Arial" w:hAnsi="Arial"/>
          <w:sz w:val="22"/>
          <w:szCs w:val="22"/>
        </w:rPr>
        <w:t xml:space="preserve">Terver, B., Yang, T.-Y., Ponce, J., Bardes, A., &amp; LeCun, Y. (2026). What drives success in physical planning with joint-embedding predictive world models? </w:t>
      </w:r>
      <w:r>
        <w:rPr>
          <w:rFonts w:ascii="Arial" w:cs="Arial" w:eastAsia="Arial" w:hAnsi="Arial"/>
          <w:i/>
          <w:iCs/>
          <w:sz w:val="22"/>
          <w:szCs w:val="22"/>
        </w:rPr>
        <w:t xml:space="preserve">Transactions on Machine Learning Research</w:t>
      </w:r>
      <w:r>
        <w:rPr>
          <w:rFonts w:ascii="Arial" w:cs="Arial" w:eastAsia="Arial" w:hAnsi="Arial"/>
          <w:sz w:val="22"/>
          <w:szCs w:val="22"/>
        </w:rPr>
        <w:t xml:space="preserve">. https://doi.org/10.48550/arXiv.2512.24497</w:t>
      </w:r>
    </w:p>
    <w:p>
      <w:pPr>
        <w:spacing w:after="120" w:line="276"/>
        <w:ind w:left="720" w:hanging="720"/>
      </w:pPr>
      <w:r>
        <w:rPr>
          <w:rFonts w:ascii="Arial" w:cs="Arial" w:eastAsia="Arial" w:hAnsi="Arial"/>
          <w:sz w:val="22"/>
          <w:szCs w:val="22"/>
        </w:rPr>
        <w:t xml:space="preserve">Tillet, P., Kung, H. T., &amp; Cox, D. (2019). Triton: An intermediate language and compiler for tiled neural network computations. In </w:t>
      </w:r>
      <w:r>
        <w:rPr>
          <w:rFonts w:ascii="Arial" w:cs="Arial" w:eastAsia="Arial" w:hAnsi="Arial"/>
          <w:i/>
          <w:iCs/>
          <w:sz w:val="22"/>
          <w:szCs w:val="22"/>
        </w:rPr>
        <w:t xml:space="preserve">Proceedings of the 3rd ACM SIGPLAN International Workshop on Machine Learning and Programming Languages</w:t>
      </w:r>
      <w:r>
        <w:rPr>
          <w:rFonts w:ascii="Arial" w:cs="Arial" w:eastAsia="Arial" w:hAnsi="Arial"/>
          <w:sz w:val="22"/>
          <w:szCs w:val="22"/>
        </w:rPr>
        <w:t xml:space="preserve"> (pp. 10–19). ACM. https://doi.org/10.1145/3315508.3329973</w:t>
      </w:r>
    </w:p>
    <w:p>
      <w:pPr>
        <w:spacing w:after="120" w:line="276"/>
        <w:ind w:left="720" w:hanging="720"/>
      </w:pPr>
      <w:r>
        <w:rPr>
          <w:rFonts w:ascii="Arial" w:cs="Arial" w:eastAsia="Arial" w:hAnsi="Arial"/>
          <w:sz w:val="22"/>
          <w:szCs w:val="22"/>
        </w:rPr>
        <w:t xml:space="preserve">Vlahov, B., Gibson, J., Gandhi, M., &amp; Theodorou, E. A. (2024). </w:t>
      </w:r>
      <w:r>
        <w:rPr>
          <w:rFonts w:ascii="Arial" w:cs="Arial" w:eastAsia="Arial" w:hAnsi="Arial"/>
          <w:i/>
          <w:iCs/>
          <w:sz w:val="22"/>
          <w:szCs w:val="22"/>
        </w:rPr>
        <w:t xml:space="preserve">MPPI-Generic: A CUDA library for stochastic trajectory optimization</w:t>
      </w:r>
      <w:r>
        <w:rPr>
          <w:rFonts w:ascii="Arial" w:cs="Arial" w:eastAsia="Arial" w:hAnsi="Arial"/>
          <w:sz w:val="22"/>
          <w:szCs w:val="22"/>
        </w:rPr>
        <w:t xml:space="preserve"> (arXiv:2409.07563). arXiv. https://doi.org/10.48550/arXiv.2409.07563</w:t>
      </w:r>
    </w:p>
    <w:p>
      <w:pPr>
        <w:spacing w:after="120" w:line="276"/>
        <w:ind w:left="720" w:hanging="720"/>
      </w:pPr>
      <w:r>
        <w:rPr>
          <w:rFonts w:ascii="Arial" w:cs="Arial" w:eastAsia="Arial" w:hAnsi="Arial"/>
          <w:sz w:val="22"/>
          <w:szCs w:val="22"/>
        </w:rPr>
        <w:t xml:space="preserve">Williams, G., Aldrich, A., &amp; Theodorou, E. A. (2017). Model predictive path integral control: From theory to parallel computation. </w:t>
      </w:r>
      <w:r>
        <w:rPr>
          <w:rFonts w:ascii="Arial" w:cs="Arial" w:eastAsia="Arial" w:hAnsi="Arial"/>
          <w:i/>
          <w:iCs/>
          <w:sz w:val="22"/>
          <w:szCs w:val="22"/>
        </w:rPr>
        <w:t xml:space="preserve">Journal of Guidance, Control, and Dynamics, 40</w:t>
      </w:r>
      <w:r>
        <w:rPr>
          <w:rFonts w:ascii="Arial" w:cs="Arial" w:eastAsia="Arial" w:hAnsi="Arial"/>
          <w:sz w:val="22"/>
          <w:szCs w:val="22"/>
        </w:rPr>
        <w:t xml:space="preserve">(2), 344–357. https://doi.org/10.2514/1.G001921</w:t>
      </w:r>
    </w:p>
    <w:p>
      <w:pPr>
        <w:spacing w:after="120" w:line="276"/>
        <w:ind w:left="720" w:hanging="720"/>
      </w:pPr>
      <w:r>
        <w:rPr>
          <w:rFonts w:ascii="Arial" w:cs="Arial" w:eastAsia="Arial" w:hAnsi="Arial"/>
          <w:sz w:val="22"/>
          <w:szCs w:val="22"/>
        </w:rPr>
        <w:t xml:space="preserve">Williams, S., Waterman, A., &amp; Patterson, D. (2009). Roofline: An insightful visual performance model for multicore architectures. </w:t>
      </w:r>
      <w:r>
        <w:rPr>
          <w:rFonts w:ascii="Arial" w:cs="Arial" w:eastAsia="Arial" w:hAnsi="Arial"/>
          <w:i/>
          <w:iCs/>
          <w:sz w:val="22"/>
          <w:szCs w:val="22"/>
        </w:rPr>
        <w:t xml:space="preserve">Communications of the ACM, 52</w:t>
      </w:r>
      <w:r>
        <w:rPr>
          <w:rFonts w:ascii="Arial" w:cs="Arial" w:eastAsia="Arial" w:hAnsi="Arial"/>
          <w:sz w:val="22"/>
          <w:szCs w:val="22"/>
        </w:rPr>
        <w:t xml:space="preserve">(4), 65–76. https://doi.org/10.1145/1498765.1498785</w:t>
      </w:r>
    </w:p>
    <w:p>
      <w:pPr>
        <w:spacing w:after="120" w:line="276"/>
        <w:ind w:left="720" w:hanging="720"/>
      </w:pPr>
      <w:r>
        <w:rPr>
          <w:rFonts w:ascii="Arial" w:cs="Arial" w:eastAsia="Arial" w:hAnsi="Arial"/>
          <w:sz w:val="22"/>
          <w:szCs w:val="22"/>
        </w:rPr>
        <w:t xml:space="preserve">Wilson, E. B. (1927). Probable inference, the law of succession, and statistical inference. </w:t>
      </w:r>
      <w:r>
        <w:rPr>
          <w:rFonts w:ascii="Arial" w:cs="Arial" w:eastAsia="Arial" w:hAnsi="Arial"/>
          <w:i/>
          <w:iCs/>
          <w:sz w:val="22"/>
          <w:szCs w:val="22"/>
        </w:rPr>
        <w:t xml:space="preserve">Journal of the American Statistical Association, 22</w:t>
      </w:r>
      <w:r>
        <w:rPr>
          <w:rFonts w:ascii="Arial" w:cs="Arial" w:eastAsia="Arial" w:hAnsi="Arial"/>
          <w:sz w:val="22"/>
          <w:szCs w:val="22"/>
        </w:rPr>
        <w:t xml:space="preserve">(158), 209–212. https://doi.org/10.1080/01621459.1927.10502953</w:t>
      </w:r>
    </w:p>
    <w:p>
      <w:pPr>
        <w:spacing w:after="120" w:line="276"/>
        <w:ind w:left="720" w:hanging="720"/>
      </w:pPr>
      <w:r>
        <w:rPr>
          <w:rFonts w:ascii="Arial" w:cs="Arial" w:eastAsia="Arial" w:hAnsi="Arial"/>
          <w:sz w:val="22"/>
          <w:szCs w:val="22"/>
        </w:rPr>
        <w:t xml:space="preserve">Zhou, G., Pan, H., LeCun, Y., &amp; Pinto, L. (2025). DINO-WM: World models on pre-trained visual features enable zero-shot planning. In </w:t>
      </w:r>
      <w:r>
        <w:rPr>
          <w:rFonts w:ascii="Arial" w:cs="Arial" w:eastAsia="Arial" w:hAnsi="Arial"/>
          <w:i/>
          <w:iCs/>
          <w:sz w:val="22"/>
          <w:szCs w:val="22"/>
        </w:rPr>
        <w:t xml:space="preserve">Proceedings of the 42nd International Conference on Machine Learning</w:t>
      </w:r>
      <w:r>
        <w:rPr>
          <w:rFonts w:ascii="Arial" w:cs="Arial" w:eastAsia="Arial" w:hAnsi="Arial"/>
          <w:sz w:val="22"/>
          <w:szCs w:val="22"/>
        </w:rPr>
        <w:t xml:space="preserve"> (Vol. 267, pp. 79115–79135). PMLR. https://proceedings.mlr.press/v267/zhou25t.html</w:t>
      </w:r>
    </w:p>
    <w:p>
      <w:pPr>
        <w:pStyle w:val="Heading1"/>
        <w:keepNext/>
        <w:pageBreakBefore/>
        <w:spacing w:after="120" w:before="360"/>
      </w:pPr>
      <w:bookmarkStart w:name="_Toc50" w:id="50"/>
      <w:r>
        <w:rPr>
          <w:rFonts w:ascii="Times New Roman" w:cs="Times New Roman" w:eastAsia="Times New Roman" w:hAnsi="Times New Roman"/>
          <w:b/>
          <w:bCs/>
          <w:color w:val="000000"/>
          <w:sz w:val="32"/>
          <w:szCs w:val="32"/>
        </w:rPr>
        <w:t xml:space="preserve">Appendix A. Data dictionary</w:t>
      </w:r>
      <w:bookmarkEnd w:id="50"/>
    </w:p>
    <w:p>
      <w:pPr>
        <w:spacing w:after="120" w:line="276"/>
      </w:pPr>
      <w:r>
        <w:rPr>
          <w:rFonts w:ascii="Arial" w:cs="Arial" w:eastAsia="Arial" w:hAnsi="Arial"/>
          <w:sz w:val="22"/>
          <w:szCs w:val="22"/>
        </w:rPr>
        <w:t xml:space="preserve">The solution pack's </w:t>
      </w:r>
      <w:r>
        <w:rPr>
          <w:rFonts w:ascii="Consolas" w:cs="Consolas" w:eastAsia="Consolas" w:hAnsi="Consolas"/>
          <w:sz w:val="20"/>
          <w:szCs w:val="20"/>
        </w:rPr>
        <w:t xml:space="preserve">data</w:t>
      </w:r>
      <w:r>
        <w:rPr>
          <w:rFonts w:ascii="Arial" w:cs="Arial" w:eastAsia="Arial" w:hAnsi="Arial"/>
          <w:sz w:val="22"/>
          <w:szCs w:val="22"/>
        </w:rPr>
        <w:t xml:space="preserve"> folder holds five comma-separated tables, produced from the raw benchmark records by </w:t>
      </w:r>
      <w:r>
        <w:rPr>
          <w:rFonts w:ascii="Consolas" w:cs="Consolas" w:eastAsia="Consolas" w:hAnsi="Consolas"/>
          <w:sz w:val="20"/>
          <w:szCs w:val="20"/>
        </w:rPr>
        <w:t xml:space="preserve">lewm_flash.py prepare</w:t>
      </w:r>
      <w:r>
        <w:rPr>
          <w:rFonts w:ascii="Arial" w:cs="Arial" w:eastAsia="Arial" w:hAnsi="Arial"/>
          <w:sz w:val="22"/>
          <w:szCs w:val="22"/>
        </w:rPr>
        <w:t xml:space="preserve">.</w:t>
      </w:r>
    </w:p>
    <w:p>
      <w:pPr>
        <w:keepNext/>
        <w:spacing w:after="80" w:before="160" w:line="240"/>
      </w:pPr>
      <w:r>
        <w:rPr>
          <w:rFonts w:ascii="Arial" w:cs="Arial" w:eastAsia="Arial" w:hAnsi="Arial"/>
          <w:b/>
          <w:bCs/>
          <w:sz w:val="20"/>
          <w:szCs w:val="20"/>
        </w:rPr>
        <w:t xml:space="preserve">Table A1. </w:t>
      </w:r>
      <w:r>
        <w:rPr>
          <w:rFonts w:ascii="Arial" w:cs="Arial" w:eastAsia="Arial" w:hAnsi="Arial"/>
          <w:sz w:val="20"/>
          <w:szCs w:val="20"/>
        </w:rPr>
        <w:t xml:space="preserve">Columns of the five datasets.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5"/>
        <w:gridCol w:w="2923"/>
        <w:gridCol w:w="3847"/>
      </w:tblGrid>
      <w:tr>
        <w:trPr>
          <w:tblHeader/>
        </w:trPr>
        <w:tc>
          <w:tcPr>
            <w:tcW w:type="dxa" w:w="2255"/>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file</w:t>
            </w:r>
          </w:p>
        </w:tc>
        <w:tc>
          <w:tcPr>
            <w:tcW w:type="dxa" w:w="2923"/>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column</w:t>
            </w:r>
          </w:p>
        </w:tc>
        <w:tc>
          <w:tcPr>
            <w:tcW w:type="dxa" w:w="3847"/>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meaning</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calls.csv</w:t>
            </w: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config</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reference, pytorch_optimised, megakernel, or one of four probes (probe_cached_cem, probe_cached_icem, probe_mk_cem, probe_mk_icem)</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role</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system (compared in the evaluation) or probe (isolates one effect for the profile)</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seed, call_index</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episode seed (1000 to 1060) and policy call within the episode (1 to 50)</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latency_ms</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end-to-end latency of the call, CUDA event timers</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episodes.csv</w:t>
            </w: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config, seed, episode</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system, evaluation seed (0 to 2) and episode index (0 to 99); the same 300 episodes for every system</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success</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 if the T-block reached the goal pose within the 50-call budget, else 0</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cost_scaling.csv</w:t>
            </w: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execution, candidates</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execution method and number of candidates in one scoring call</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p50_ms, n</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median latency and number of timed calls</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components.csv</w:t>
            </w: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component, value, unit, source</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component timings (encoders, searches, synchronisation primitives) and planner telemetry (encoder calls per plan, share of a planning call spent in the search)</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parity.csv</w:t>
            </w: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check</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scoring case (problem, number of candidates, sampling scale), encoder check</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pytorch_bf16_rel_max, megakernel_rel_max</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maximum relative error against FP32 (relative L2 norm for the encoder row)</w:t>
            </w:r>
          </w:p>
        </w:tc>
      </w:tr>
      <w:tr>
        <w:trPr>
          <w:tblHeader w:val="off"/>
        </w:trPr>
        <w:tc>
          <w:tcPr>
            <w:tcW w:type="dxa" w:w="2255"/>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p>
        </w:tc>
        <w:tc>
          <w:tcPr>
            <w:tcW w:type="dxa" w:w="2923"/>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pytorch_bf16_top30, megakernel_top30</w:t>
            </w:r>
          </w:p>
        </w:tc>
        <w:tc>
          <w:tcPr>
            <w:tcW w:type="dxa" w:w="3847"/>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number of the FP32 top-30 candidates also in the method's top 30</w:t>
            </w:r>
          </w:p>
        </w:tc>
      </w:tr>
    </w:tbl>
    <w:p>
      <w:pPr>
        <w:spacing w:after="120"/>
      </w:pPr>
    </w:p>
    <w:p>
      <w:pPr>
        <w:pStyle w:val="Heading1"/>
        <w:keepNext/>
        <w:pageBreakBefore/>
        <w:spacing w:after="120" w:before="360"/>
      </w:pPr>
      <w:bookmarkStart w:name="_Toc51" w:id="51"/>
      <w:r>
        <w:rPr>
          <w:rFonts w:ascii="Times New Roman" w:cs="Times New Roman" w:eastAsia="Times New Roman" w:hAnsi="Times New Roman"/>
          <w:b/>
          <w:bCs/>
          <w:color w:val="000000"/>
          <w:sz w:val="32"/>
          <w:szCs w:val="32"/>
        </w:rPr>
        <w:t xml:space="preserve">Appendix B. Solution pack</w:t>
      </w:r>
      <w:bookmarkEnd w:id="51"/>
    </w:p>
    <w:p>
      <w:pPr>
        <w:spacing w:after="120" w:line="276"/>
      </w:pPr>
      <w:r>
        <w:rPr>
          <w:rFonts w:ascii="Arial" w:cs="Arial" w:eastAsia="Arial" w:hAnsi="Arial"/>
          <w:sz w:val="22"/>
          <w:szCs w:val="22"/>
        </w:rPr>
        <w:t xml:space="preserve">The solution pack (</w:t>
      </w:r>
      <w:r>
        <w:rPr>
          <w:rFonts w:ascii="Consolas" w:cs="Consolas" w:eastAsia="Consolas" w:hAnsi="Consolas"/>
          <w:sz w:val="20"/>
          <w:szCs w:val="20"/>
        </w:rPr>
        <w:t xml:space="preserve">solution_pack/</w:t>
      </w:r>
      <w:r>
        <w:rPr>
          <w:rFonts w:ascii="Arial" w:cs="Arial" w:eastAsia="Arial" w:hAnsi="Arial"/>
          <w:sz w:val="22"/>
          <w:szCs w:val="22"/>
        </w:rPr>
        <w:t xml:space="preserve"> in the project repository, also submitted as an archive) contains the datasets, the solution program and its outputs.</w:t>
      </w:r>
    </w:p>
    <w:p>
      <w:pPr>
        <w:keepNext/>
        <w:spacing w:after="80" w:before="160" w:line="240"/>
      </w:pPr>
      <w:r>
        <w:rPr>
          <w:rFonts w:ascii="Arial" w:cs="Arial" w:eastAsia="Arial" w:hAnsi="Arial"/>
          <w:b/>
          <w:bCs/>
          <w:sz w:val="20"/>
          <w:szCs w:val="20"/>
        </w:rPr>
        <w:t xml:space="preserve">Table B1. </w:t>
      </w:r>
      <w:r>
        <w:rPr>
          <w:rFonts w:ascii="Arial" w:cs="Arial" w:eastAsia="Arial" w:hAnsi="Arial"/>
          <w:sz w:val="20"/>
          <w:szCs w:val="20"/>
        </w:rPr>
        <w:t xml:space="preserve">Contents of the solution pack.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31"/>
        <w:gridCol w:w="5294"/>
      </w:tblGrid>
      <w:tr>
        <w:trPr>
          <w:tblHeader/>
        </w:trPr>
        <w:tc>
          <w:tcPr>
            <w:tcW w:type="dxa" w:w="37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path</w:t>
            </w:r>
          </w:p>
        </w:tc>
        <w:tc>
          <w:tcPr>
            <w:tcW w:type="dxa" w:w="529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content</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lewm_flash.py</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solution program: data preparation, preprocessing, compute-profile analysis, statistical evaluation, tables and figures</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data/*.csv</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five datasets of Appendix A (460 KB)</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outputs/results.json</w:t>
            </w:r>
            <w:r>
              <w:rPr>
                <w:rFonts w:ascii="Arial" w:cs="Arial" w:eastAsia="Arial" w:hAnsi="Arial"/>
                <w:b w:val="false"/>
                <w:bCs w:val="false"/>
                <w:sz w:val="19"/>
                <w:szCs w:val="19"/>
              </w:rPr>
              <w:t xml:space="preserve">, </w:t>
            </w:r>
            <w:r>
              <w:rPr>
                <w:rFonts w:ascii="Consolas" w:cs="Consolas" w:eastAsia="Consolas" w:hAnsi="Consolas"/>
                <w:b w:val="false"/>
                <w:bCs w:val="false"/>
                <w:sz w:val="20"/>
                <w:szCs w:val="20"/>
              </w:rPr>
              <w:t xml:space="preserve">outputs/tables.md</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every statistic in this report, as generated</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outputs/figs/*.png</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data figures of this report (Figures 3, 5, 6 and 7)</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kernel/</w:t>
            </w:r>
            <w:r>
              <w:rPr>
                <w:rFonts w:ascii="Arial" w:cs="Arial" w:eastAsia="Arial" w:hAnsi="Arial"/>
                <w:b w:val="false"/>
                <w:bCs w:val="false"/>
                <w:sz w:val="19"/>
                <w:szCs w:val="19"/>
              </w:rPr>
              <w:t xml:space="preserve"> (archive only)</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the GPU kernel and its Python runtime, packer and planner class, copied from </w:t>
            </w:r>
            <w:r>
              <w:rPr>
                <w:rFonts w:ascii="Consolas" w:cs="Consolas" w:eastAsia="Consolas" w:hAnsi="Consolas"/>
                <w:b w:val="false"/>
                <w:bCs w:val="false"/>
                <w:sz w:val="20"/>
                <w:szCs w:val="20"/>
              </w:rPr>
              <w:t xml:space="preserve">megakernel/</w:t>
            </w:r>
          </w:p>
        </w:tc>
      </w:tr>
      <w:tr>
        <w:trPr>
          <w:tblHeader w:val="off"/>
        </w:trPr>
        <w:tc>
          <w:tcPr>
            <w:tcW w:type="dxa" w:w="37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Consolas" w:cs="Consolas" w:eastAsia="Consolas" w:hAnsi="Consolas"/>
                <w:b w:val="false"/>
                <w:bCs w:val="false"/>
                <w:sz w:val="20"/>
                <w:szCs w:val="20"/>
              </w:rPr>
              <w:t xml:space="preserve">README.md</w:t>
            </w:r>
          </w:p>
        </w:tc>
        <w:tc>
          <w:tcPr>
            <w:tcW w:type="dxa" w:w="529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how to run</w:t>
            </w:r>
          </w:p>
        </w:tc>
      </w:tr>
    </w:tbl>
    <w:p>
      <w:pPr>
        <w:spacing w:after="120"/>
      </w:pPr>
    </w:p>
    <w:p>
      <w:pPr>
        <w:spacing w:after="120" w:line="276"/>
      </w:pPr>
      <w:r>
        <w:rPr>
          <w:rFonts w:ascii="Arial" w:cs="Arial" w:eastAsia="Arial" w:hAnsi="Arial"/>
          <w:sz w:val="22"/>
          <w:szCs w:val="22"/>
        </w:rPr>
        <w:t xml:space="preserve">The program needs Python 3.10 or later with numpy and matplotlib, and runs on any computer. Without arguments it runs </w:t>
      </w:r>
      <w:r>
        <w:rPr>
          <w:rFonts w:ascii="Consolas" w:cs="Consolas" w:eastAsia="Consolas" w:hAnsi="Consolas"/>
          <w:sz w:val="20"/>
          <w:szCs w:val="20"/>
        </w:rPr>
        <w:t xml:space="preserve">analyse</w:t>
      </w:r>
      <w:r>
        <w:rPr>
          <w:rFonts w:ascii="Arial" w:cs="Arial" w:eastAsia="Arial" w:hAnsi="Arial"/>
          <w:sz w:val="22"/>
          <w:szCs w:val="22"/>
        </w:rPr>
        <w:t xml:space="preserve">, which regenerates </w:t>
      </w:r>
      <w:r>
        <w:rPr>
          <w:rFonts w:ascii="Consolas" w:cs="Consolas" w:eastAsia="Consolas" w:hAnsi="Consolas"/>
          <w:sz w:val="20"/>
          <w:szCs w:val="20"/>
        </w:rPr>
        <w:t xml:space="preserve">outputs/</w:t>
      </w:r>
      <w:r>
        <w:rPr>
          <w:rFonts w:ascii="Arial" w:cs="Arial" w:eastAsia="Arial" w:hAnsi="Arial"/>
          <w:sz w:val="22"/>
          <w:szCs w:val="22"/>
        </w:rPr>
        <w:t xml:space="preserve"> in about five seconds; </w:t>
      </w:r>
      <w:r>
        <w:rPr>
          <w:rFonts w:ascii="Consolas" w:cs="Consolas" w:eastAsia="Consolas" w:hAnsi="Consolas"/>
          <w:sz w:val="20"/>
          <w:szCs w:val="20"/>
        </w:rPr>
        <w:t xml:space="preserve">prepare</w:t>
      </w:r>
      <w:r>
        <w:rPr>
          <w:rFonts w:ascii="Arial" w:cs="Arial" w:eastAsia="Arial" w:hAnsi="Arial"/>
          <w:sz w:val="22"/>
          <w:szCs w:val="22"/>
        </w:rPr>
        <w:t xml:space="preserve"> rebuilds </w:t>
      </w:r>
      <w:r>
        <w:rPr>
          <w:rFonts w:ascii="Consolas" w:cs="Consolas" w:eastAsia="Consolas" w:hAnsi="Consolas"/>
          <w:sz w:val="20"/>
          <w:szCs w:val="20"/>
        </w:rPr>
        <w:t xml:space="preserve">data/</w:t>
      </w:r>
      <w:r>
        <w:rPr>
          <w:rFonts w:ascii="Arial" w:cs="Arial" w:eastAsia="Arial" w:hAnsi="Arial"/>
          <w:sz w:val="22"/>
          <w:szCs w:val="22"/>
        </w:rPr>
        <w:t xml:space="preserve"> from the raw records inside the repository; and </w:t>
      </w:r>
      <w:r>
        <w:rPr>
          <w:rFonts w:ascii="Consolas" w:cs="Consolas" w:eastAsia="Consolas" w:hAnsi="Consolas"/>
          <w:sz w:val="20"/>
          <w:szCs w:val="20"/>
        </w:rPr>
        <w:t xml:space="preserve">reproduce</w:t>
      </w:r>
      <w:r>
        <w:rPr>
          <w:rFonts w:ascii="Arial" w:cs="Arial" w:eastAsia="Arial" w:hAnsi="Arial"/>
          <w:sz w:val="22"/>
          <w:szCs w:val="22"/>
        </w:rPr>
        <w:t xml:space="preserve"> prints the commands that re-collect the data on a cloud H100.</w:t>
      </w:r>
    </w:p>
    <w:p>
      <w:pPr>
        <w:shd w:fill="F3F4F6" w:color="auto" w:val="clear"/>
        <w:spacing w:after="0" w:before="80" w:line="240"/>
      </w:pPr>
      <w:r>
        <w:rPr>
          <w:rFonts w:ascii="Courier New" w:cs="Courier New" w:eastAsia="Courier New" w:hAnsi="Courier New"/>
          <w:sz w:val="18"/>
          <w:szCs w:val="18"/>
        </w:rPr>
        <w:t xml:space="preserve">pip install numpy matplotlib</w:t>
      </w:r>
    </w:p>
    <w:p>
      <w:pPr>
        <w:shd w:fill="F3F4F6" w:color="auto" w:val="clear"/>
        <w:spacing w:after="0" w:before="0" w:line="240"/>
      </w:pPr>
      <w:r>
        <w:rPr>
          <w:rFonts w:ascii="Courier New" w:cs="Courier New" w:eastAsia="Courier New" w:hAnsi="Courier New"/>
          <w:sz w:val="18"/>
          <w:szCs w:val="18"/>
        </w:rPr>
        <w:t xml:space="preserve">python lewm_flash.py</w:t>
      </w:r>
    </w:p>
    <w:p>
      <w:pPr>
        <w:shd w:fill="F3F4F6" w:color="auto" w:val="clear"/>
        <w:spacing w:after="0" w:before="0" w:line="240"/>
      </w:pPr>
      <w:r>
        <w:rPr>
          <w:rFonts w:ascii="Courier New" w:cs="Courier New" w:eastAsia="Courier New" w:hAnsi="Courier New"/>
          <w:sz w:val="18"/>
          <w:szCs w:val="18"/>
        </w:rPr>
        <w:t xml:space="preserve">python lewm_flash.py prepare</w:t>
      </w:r>
    </w:p>
    <w:p>
      <w:pPr>
        <w:shd w:fill="F3F4F6" w:color="auto" w:val="clear"/>
        <w:spacing w:after="160" w:before="0" w:line="240"/>
      </w:pPr>
      <w:r>
        <w:rPr>
          <w:rFonts w:ascii="Courier New" w:cs="Courier New" w:eastAsia="Courier New" w:hAnsi="Courier New"/>
          <w:sz w:val="18"/>
          <w:szCs w:val="18"/>
        </w:rPr>
        <w:t xml:space="preserve">python lewm_flash.py reproduce</w:t>
      </w:r>
    </w:p>
    <w:p>
      <w:pPr>
        <w:spacing w:after="120" w:line="276"/>
      </w:pPr>
      <w:r>
        <w:rPr>
          <w:rFonts w:ascii="Consolas" w:cs="Consolas" w:eastAsia="Consolas" w:hAnsi="Consolas"/>
          <w:sz w:val="20"/>
          <w:szCs w:val="20"/>
        </w:rPr>
        <w:t xml:space="preserve">analyse</w:t>
      </w:r>
      <w:r>
        <w:rPr>
          <w:rFonts w:ascii="Arial" w:cs="Arial" w:eastAsia="Arial" w:hAnsi="Arial"/>
          <w:sz w:val="22"/>
          <w:szCs w:val="22"/>
        </w:rPr>
        <w:t xml:space="preserve"> performs, in order: loading and validating the datasets; warm-up removal, call classification and outlier flagging; the stage decomposition, scaling-model fits and per-layer costs; bootstrap intervals, speed-up intervals, Wilson intervals, paired McNemar tests, paired bootstrap intervals and the power calculation; and writes the tables, the JSON results and the figures. Re-collecting the raw data (</w:t>
      </w:r>
      <w:r>
        <w:rPr>
          <w:rFonts w:ascii="Consolas" w:cs="Consolas" w:eastAsia="Consolas" w:hAnsi="Consolas"/>
          <w:sz w:val="20"/>
          <w:szCs w:val="20"/>
        </w:rPr>
        <w:t xml:space="preserve">reproduce --yes</w:t>
      </w:r>
      <w:r>
        <w:rPr>
          <w:rFonts w:ascii="Arial" w:cs="Arial" w:eastAsia="Arial" w:hAnsi="Arial"/>
          <w:sz w:val="22"/>
          <w:szCs w:val="22"/>
        </w:rPr>
        <w:t xml:space="preserve">) launches the benchmark on rented H100 GPUs through Modal and requires a Modal account, the LeWM checkpoint and the kernel build; it costs roughly $0.20 per seed per system.</w:t>
      </w:r>
    </w:p>
    <w:p>
      <w:pPr>
        <w:pStyle w:val="Heading1"/>
        <w:keepNext/>
        <w:pageBreakBefore/>
        <w:spacing w:after="120" w:before="360"/>
      </w:pPr>
      <w:bookmarkStart w:name="_Toc52" w:id="52"/>
      <w:r>
        <w:rPr>
          <w:rFonts w:ascii="Times New Roman" w:cs="Times New Roman" w:eastAsia="Times New Roman" w:hAnsi="Times New Roman"/>
          <w:b/>
          <w:bCs/>
          <w:color w:val="000000"/>
          <w:sz w:val="32"/>
          <w:szCs w:val="32"/>
        </w:rPr>
        <w:t xml:space="preserve">Appendix C. Configuration and repeatability</w:t>
      </w:r>
      <w:bookmarkEnd w:id="52"/>
    </w:p>
    <w:p>
      <w:pPr>
        <w:keepNext/>
        <w:spacing w:after="80" w:before="160" w:line="240"/>
      </w:pPr>
      <w:r>
        <w:rPr>
          <w:rFonts w:ascii="Arial" w:cs="Arial" w:eastAsia="Arial" w:hAnsi="Arial"/>
          <w:b/>
          <w:bCs/>
          <w:sz w:val="20"/>
          <w:szCs w:val="20"/>
        </w:rPr>
        <w:t xml:space="preserve">Table C1. </w:t>
      </w:r>
      <w:r>
        <w:rPr>
          <w:rFonts w:ascii="Arial" w:cs="Arial" w:eastAsia="Arial" w:hAnsi="Arial"/>
          <w:sz w:val="20"/>
          <w:szCs w:val="20"/>
        </w:rPr>
        <w:t xml:space="preserve">Planner configuration of LeWM-MK (identical to the optimised PyTorch planner; the reference uses CEM with 300 candidates in every iteration and no retained elites).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714"/>
        <w:gridCol w:w="5311"/>
      </w:tblGrid>
      <w:tr>
        <w:trPr>
          <w:tblHeader/>
        </w:trPr>
        <w:tc>
          <w:tcPr>
            <w:tcW w:type="dxa" w:w="371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setting</w:t>
            </w:r>
          </w:p>
        </w:tc>
        <w:tc>
          <w:tcPr>
            <w:tcW w:type="dxa" w:w="531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value</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candidates per iteration</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max(⌈300 · 1.25</w:t>
            </w:r>
            <w:r>
              <w:rPr>
                <w:rFonts w:ascii="Arial" w:cs="Arial" w:eastAsia="Arial" w:hAnsi="Arial"/>
                <w:b w:val="false"/>
                <w:bCs w:val="false"/>
                <w:sz w:val="19"/>
                <w:szCs w:val="19"/>
                <w:vertAlign w:val="superscript"/>
              </w:rPr>
              <w:t xml:space="preserve">−i</w:t>
            </w:r>
            <w:r>
              <w:rPr>
                <w:rFonts w:ascii="Arial" w:cs="Arial" w:eastAsia="Arial" w:hAnsi="Arial"/>
                <w:b w:val="false"/>
                <w:bCs w:val="false"/>
                <w:sz w:val="19"/>
                <w:szCs w:val="19"/>
              </w:rPr>
              <w:t xml:space="preserve">⌉, 60), rounded up to a multiple of 60: 300, 240, 240, 180, 180, 120, 120, 120, then 60 for 22 iterations</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iterations, elites, retained elites</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30, top 30, 5 per iteration</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rollouts per plan</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2,820 (reference: 9,000)</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horizon, replanning interval, action block</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5, 5, 5</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initial sampling scale</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1.0</w:t>
            </w:r>
          </w:p>
        </w:tc>
      </w:tr>
      <w:tr>
        <w:trPr>
          <w:tblHeader w:val="off"/>
        </w:trPr>
        <w:tc>
          <w:tcPr>
            <w:tcW w:type="dxa" w:w="371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coloured noise, momentum, clipping</w:t>
            </w:r>
          </w:p>
        </w:tc>
        <w:tc>
          <w:tcPr>
            <w:tcW w:type="dxa" w:w="53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not used (reduced success on Push-T in the earlier planner study)</w:t>
            </w:r>
          </w:p>
        </w:tc>
      </w:tr>
    </w:tbl>
    <w:p>
      <w:pPr>
        <w:spacing w:after="120"/>
      </w:pPr>
    </w:p>
    <w:p>
      <w:pPr>
        <w:keepNext/>
        <w:spacing w:after="80" w:before="160" w:line="240"/>
      </w:pPr>
      <w:r>
        <w:rPr>
          <w:rFonts w:ascii="Arial" w:cs="Arial" w:eastAsia="Arial" w:hAnsi="Arial"/>
          <w:b/>
          <w:bCs/>
          <w:sz w:val="20"/>
          <w:szCs w:val="20"/>
        </w:rPr>
        <w:t xml:space="preserve">Table C2. </w:t>
      </w:r>
      <w:r>
        <w:rPr>
          <w:rFonts w:ascii="Arial" w:cs="Arial" w:eastAsia="Arial" w:hAnsi="Arial"/>
          <w:sz w:val="20"/>
          <w:szCs w:val="20"/>
        </w:rPr>
        <w:t xml:space="preserve">Kernel configuration on the H100.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41"/>
        <w:gridCol w:w="6884"/>
      </w:tblGrid>
      <w:tr>
        <w:trPr>
          <w:tblHeader/>
        </w:trPr>
        <w:tc>
          <w:tcPr>
            <w:tcW w:type="dxa" w:w="214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item</w:t>
            </w:r>
          </w:p>
        </w:tc>
        <w:tc>
          <w:tcPr>
            <w:tcW w:type="dxa" w:w="6884"/>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value</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grid</w:t>
            </w:r>
          </w:p>
        </w:tc>
        <w:tc>
          <w:tcPr>
            <w:tcW w:type="dxa" w:w="68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 clusters of 16 blocks (one robot); 15 clusters of 8 for batched evaluation</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block</w:t>
            </w:r>
          </w:p>
        </w:tc>
        <w:tc>
          <w:tcPr>
            <w:tcW w:type="dxa" w:w="68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256 threads (two groups of 128), 255 registers per thread, 231,584 bytes of shared memory</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weights</w:t>
            </w:r>
          </w:p>
        </w:tc>
        <w:tc>
          <w:tcPr>
            <w:tcW w:type="dxa" w:w="68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1,472 blocks of 24 KB in BF16, pre-arranged in the tensor-core layout (964 for the predictor, action encoder and projector; 508 for the encoder)</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random numbers</w:t>
            </w:r>
          </w:p>
        </w:tc>
        <w:tc>
          <w:tcPr>
            <w:tcW w:type="dxa" w:w="68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Philox 4×32-10, keyed by plan seed, iteration, robot, candidate and action element</w:t>
            </w:r>
          </w:p>
        </w:tc>
      </w:tr>
      <w:tr>
        <w:trPr>
          <w:tblHeader w:val="off"/>
        </w:trPr>
        <w:tc>
          <w:tcPr>
            <w:tcW w:type="dxa" w:w="214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measured primitives</w:t>
            </w:r>
          </w:p>
        </w:tc>
        <w:tc>
          <w:tcPr>
            <w:tcW w:type="dxa" w:w="6884"/>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cluster barrier 0.68 µs, grid barrier 1.56 µs, empty kernel launch 14 µs</w:t>
            </w:r>
          </w:p>
        </w:tc>
      </w:tr>
    </w:tbl>
    <w:p>
      <w:pPr>
        <w:spacing w:after="120"/>
      </w:pPr>
    </w:p>
    <w:p>
      <w:pPr>
        <w:spacing w:after="120" w:line="276"/>
      </w:pPr>
      <w:r>
        <w:rPr>
          <w:rFonts w:ascii="Arial" w:cs="Arial" w:eastAsia="Arial" w:hAnsi="Arial"/>
          <w:sz w:val="22"/>
          <w:szCs w:val="22"/>
        </w:rPr>
        <w:t xml:space="preserve">The latency benchmark was run twice. Table C3 compares the earlier pass with the pass used in this report for the configurations both contain. The PyTorch configurations, which depend on the CPU for every launch, moved by up to 18%; the configurations running the kernel moved by at most 2.2%.</w:t>
      </w:r>
    </w:p>
    <w:p>
      <w:pPr>
        <w:keepNext/>
        <w:spacing w:after="80" w:before="160" w:line="240"/>
      </w:pPr>
      <w:r>
        <w:rPr>
          <w:rFonts w:ascii="Arial" w:cs="Arial" w:eastAsia="Arial" w:hAnsi="Arial"/>
          <w:b/>
          <w:bCs/>
          <w:sz w:val="20"/>
          <w:szCs w:val="20"/>
        </w:rPr>
        <w:t xml:space="preserve">Table C3. </w:t>
      </w:r>
      <w:r>
        <w:rPr>
          <w:rFonts w:ascii="Arial" w:cs="Arial" w:eastAsia="Arial" w:hAnsi="Arial"/>
          <w:sz w:val="20"/>
          <w:szCs w:val="20"/>
        </w:rPr>
        <w:t xml:space="preserve">Median planning latency in two passes of the benchmark (ms).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11"/>
        <w:gridCol w:w="1751"/>
        <w:gridCol w:w="1531"/>
        <w:gridCol w:w="1531"/>
      </w:tblGrid>
      <w:tr>
        <w:trPr>
          <w:tblHeader/>
        </w:trPr>
        <w:tc>
          <w:tcPr>
            <w:tcW w:type="dxa" w:w="421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configuration</w:t>
            </w:r>
          </w:p>
        </w:tc>
        <w:tc>
          <w:tcPr>
            <w:tcW w:type="dxa" w:w="175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earlier pass</w:t>
            </w:r>
          </w:p>
        </w:tc>
        <w:tc>
          <w:tcPr>
            <w:tcW w:type="dxa" w:w="1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this report</w:t>
            </w:r>
          </w:p>
        </w:tc>
        <w:tc>
          <w:tcPr>
            <w:tcW w:type="dxa" w:w="1531"/>
            <w:tcBorders>
              <w:top w:val="single" w:color="999999" w:sz="4"/>
              <w:left w:val="single" w:color="999999" w:sz="4"/>
              <w:bottom w:val="single" w:color="999999" w:sz="4"/>
              <w:right w:val="single" w:color="999999" w:sz="4"/>
            </w:tcBorders>
            <w:shd w:fill="E7E6E6" w:color="auto" w:val="clear"/>
            <w:tcMar>
              <w:top w:type="dxa" w:w="40"/>
              <w:left w:type="dxa" w:w="80"/>
              <w:bottom w:type="dxa" w:w="40"/>
              <w:right w:type="dxa" w:w="80"/>
            </w:tcMar>
            <w:vAlign w:val="center"/>
          </w:tcPr>
          <w:p>
            <w:pPr>
              <w:spacing w:after="0" w:line="240"/>
              <w:jc w:val="left"/>
            </w:pPr>
            <w:r>
              <w:rPr>
                <w:rFonts w:ascii="Arial" w:cs="Arial" w:eastAsia="Arial" w:hAnsi="Arial"/>
                <w:b/>
                <w:bCs/>
                <w:sz w:val="19"/>
                <w:szCs w:val="19"/>
              </w:rPr>
              <w:t xml:space="preserve">change</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reference</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526.9</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622.4</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+18.1%</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optimised PyTorch</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196.3</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182.1</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−7.2%</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probe: encode once, CEM</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391.4</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377.0</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−3.7%</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probe: encode once, iCEM</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410.3</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410.2</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0.0%</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probe: kernel search, CEM</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81.7</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82.1</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+0.5%</w:t>
            </w:r>
          </w:p>
        </w:tc>
      </w:tr>
      <w:tr>
        <w:trPr>
          <w:tblHeader w:val="off"/>
        </w:trPr>
        <w:tc>
          <w:tcPr>
            <w:tcW w:type="dxa" w:w="421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probe: kernel search, iCEM</w:t>
            </w:r>
          </w:p>
        </w:tc>
        <w:tc>
          <w:tcPr>
            <w:tcW w:type="dxa" w:w="175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58.0</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59.3</w:t>
            </w:r>
          </w:p>
        </w:tc>
        <w:tc>
          <w:tcPr>
            <w:tcW w:type="dxa" w:w="1531"/>
            <w:tcBorders>
              <w:top w:val="single" w:color="999999" w:sz="4"/>
              <w:left w:val="single" w:color="999999" w:sz="4"/>
              <w:bottom w:val="single" w:color="999999" w:sz="4"/>
              <w:right w:val="single" w:color="999999" w:sz="4"/>
            </w:tcBorders>
            <w:tcMar>
              <w:top w:type="dxa" w:w="40"/>
              <w:left w:type="dxa" w:w="80"/>
              <w:bottom w:type="dxa" w:w="40"/>
              <w:right w:type="dxa" w:w="80"/>
            </w:tcMar>
            <w:vAlign w:val="center"/>
          </w:tcPr>
          <w:p>
            <w:pPr>
              <w:spacing w:after="0" w:line="240"/>
              <w:jc w:val="left"/>
            </w:pPr>
            <w:r>
              <w:rPr>
                <w:rFonts w:ascii="Arial" w:cs="Arial" w:eastAsia="Arial" w:hAnsi="Arial"/>
                <w:b w:val="false"/>
                <w:bCs w:val="false"/>
                <w:sz w:val="19"/>
                <w:szCs w:val="19"/>
              </w:rPr>
              <w:t xml:space="preserve">+2.2%</w:t>
            </w:r>
          </w:p>
        </w:tc>
      </w:tr>
    </w:tbl>
    <w:p>
      <w:pPr>
        <w:spacing w:after="120"/>
      </w:pPr>
    </w:p>
    <w:p>
      <w:pPr>
        <w:pStyle w:val="Heading1"/>
        <w:keepNext/>
        <w:pageBreakBefore/>
        <w:spacing w:after="120" w:before="360"/>
      </w:pPr>
      <w:bookmarkStart w:name="_Toc53" w:id="53"/>
      <w:r>
        <w:rPr>
          <w:rFonts w:ascii="Times New Roman" w:cs="Times New Roman" w:eastAsia="Times New Roman" w:hAnsi="Times New Roman"/>
          <w:b/>
          <w:bCs/>
          <w:color w:val="000000"/>
          <w:sz w:val="32"/>
          <w:szCs w:val="32"/>
        </w:rPr>
        <w:t xml:space="preserve">Appendix D. Compute and cost</w:t>
      </w:r>
      <w:bookmarkEnd w:id="53"/>
    </w:p>
    <w:p>
      <w:pPr>
        <w:spacing w:after="120" w:line="276"/>
      </w:pPr>
      <w:r>
        <w:rPr>
          <w:rFonts w:ascii="Arial" w:cs="Arial" w:eastAsia="Arial" w:hAnsi="Arial"/>
          <w:sz w:val="22"/>
          <w:szCs w:val="22"/>
        </w:rPr>
        <w:t xml:space="preserve">All GPU work ran on rented NVIDIA H100 80GB HBM3 instances on Modal, with kernel builds on CPU instances. The project used about $31.50 of GPU time against an approved budget of $35. Most of it (about $21) went on the two latency passes, because the benchmark harness starts a fresh process for each of the 61 seeds, rebuilding the simulator, reloading the model and, for the compiled baseline, recompiling, so that most of a pass's GPU time is setup rather than measurement. The remaining $10.40 covered kernel development, numerical checks, micro-benchmarks and the 300-episode evaluations. A harness that keeps one process across seeds would cut the cost of a latency pass by an order of magnitude.</w:t>
      </w:r>
    </w:p>
    <w:p>
      <w:pPr>
        <w:pStyle w:val="Heading1"/>
        <w:keepNext/>
        <w:pageBreakBefore/>
        <w:spacing w:after="120" w:before="360"/>
      </w:pPr>
      <w:bookmarkStart w:name="_Toc54" w:id="54"/>
      <w:r>
        <w:rPr>
          <w:rFonts w:ascii="Times New Roman" w:cs="Times New Roman" w:eastAsia="Times New Roman" w:hAnsi="Times New Roman"/>
          <w:b/>
          <w:bCs/>
          <w:color w:val="000000"/>
          <w:sz w:val="32"/>
          <w:szCs w:val="32"/>
        </w:rPr>
        <w:t xml:space="preserve">Appendix E. Code and data availability</w:t>
      </w:r>
      <w:bookmarkEnd w:id="54"/>
    </w:p>
    <w:p>
      <w:pPr>
        <w:spacing w:after="120" w:line="276"/>
      </w:pPr>
      <w:r>
        <w:rPr>
          <w:rFonts w:ascii="Arial" w:cs="Arial" w:eastAsia="Arial" w:hAnsi="Arial"/>
          <w:sz w:val="22"/>
          <w:szCs w:val="22"/>
        </w:rPr>
        <w:t xml:space="preserve">All code, raw records, datasets and analysis are in the project repository (</w:t>
      </w:r>
      <w:r>
        <w:rPr>
          <w:rFonts w:ascii="Consolas" w:cs="Consolas" w:eastAsia="Consolas" w:hAnsi="Consolas"/>
          <w:sz w:val="20"/>
          <w:szCs w:val="20"/>
        </w:rPr>
        <w:t xml:space="preserve">lewm-flash</w:t>
      </w:r>
      <w:r>
        <w:rPr>
          <w:rFonts w:ascii="Arial" w:cs="Arial" w:eastAsia="Arial" w:hAnsi="Arial"/>
          <w:sz w:val="22"/>
          <w:szCs w:val="22"/>
        </w:rPr>
        <w:t xml:space="preserve">, branch </w:t>
      </w:r>
      <w:r>
        <w:rPr>
          <w:rFonts w:ascii="Consolas" w:cs="Consolas" w:eastAsia="Consolas" w:hAnsi="Consolas"/>
          <w:sz w:val="20"/>
          <w:szCs w:val="20"/>
        </w:rPr>
        <w:t xml:space="preserve">antoinenguyen27/lewm-megakernel</w:t>
      </w:r>
      <w:r>
        <w:rPr>
          <w:rFonts w:ascii="Arial" w:cs="Arial" w:eastAsia="Arial" w:hAnsi="Arial"/>
          <w:sz w:val="22"/>
          <w:szCs w:val="22"/>
        </w:rPr>
        <w:t xml:space="preserve">). The kernel is </w:t>
      </w:r>
      <w:r>
        <w:rPr>
          <w:rFonts w:ascii="Consolas" w:cs="Consolas" w:eastAsia="Consolas" w:hAnsi="Consolas"/>
          <w:sz w:val="20"/>
          <w:szCs w:val="20"/>
        </w:rPr>
        <w:t xml:space="preserve">megakernel/lewm_mk.cu</w:t>
      </w:r>
      <w:r>
        <w:rPr>
          <w:rFonts w:ascii="Arial" w:cs="Arial" w:eastAsia="Arial" w:hAnsi="Arial"/>
          <w:sz w:val="22"/>
          <w:szCs w:val="22"/>
        </w:rPr>
        <w:t xml:space="preserve"> with its packer (</w:t>
      </w:r>
      <w:r>
        <w:rPr>
          <w:rFonts w:ascii="Consolas" w:cs="Consolas" w:eastAsia="Consolas" w:hAnsi="Consolas"/>
          <w:sz w:val="20"/>
          <w:szCs w:val="20"/>
        </w:rPr>
        <w:t xml:space="preserve">pack.py</w:t>
      </w:r>
      <w:r>
        <w:rPr>
          <w:rFonts w:ascii="Arial" w:cs="Arial" w:eastAsia="Arial" w:hAnsi="Arial"/>
          <w:sz w:val="22"/>
          <w:szCs w:val="22"/>
        </w:rPr>
        <w:t xml:space="preserve">), runtime (</w:t>
      </w:r>
      <w:r>
        <w:rPr>
          <w:rFonts w:ascii="Consolas" w:cs="Consolas" w:eastAsia="Consolas" w:hAnsi="Consolas"/>
          <w:sz w:val="20"/>
          <w:szCs w:val="20"/>
        </w:rPr>
        <w:t xml:space="preserve">runtime.py</w:t>
      </w:r>
      <w:r>
        <w:rPr>
          <w:rFonts w:ascii="Arial" w:cs="Arial" w:eastAsia="Arial" w:hAnsi="Arial"/>
          <w:sz w:val="22"/>
          <w:szCs w:val="22"/>
        </w:rPr>
        <w:t xml:space="preserve">) and planner class (</w:t>
      </w:r>
      <w:r>
        <w:rPr>
          <w:rFonts w:ascii="Consolas" w:cs="Consolas" w:eastAsia="Consolas" w:hAnsi="Consolas"/>
          <w:sz w:val="20"/>
          <w:szCs w:val="20"/>
        </w:rPr>
        <w:t xml:space="preserve">solver.py</w:t>
      </w:r>
      <w:r>
        <w:rPr>
          <w:rFonts w:ascii="Arial" w:cs="Arial" w:eastAsia="Arial" w:hAnsi="Arial"/>
          <w:sz w:val="22"/>
          <w:szCs w:val="22"/>
        </w:rPr>
        <w:t xml:space="preserve">). The cloud entry points are in </w:t>
      </w:r>
      <w:r>
        <w:rPr>
          <w:rFonts w:ascii="Consolas" w:cs="Consolas" w:eastAsia="Consolas" w:hAnsi="Consolas"/>
          <w:sz w:val="20"/>
          <w:szCs w:val="20"/>
        </w:rPr>
        <w:t xml:space="preserve">modal/megakernel_app.py</w:t>
      </w:r>
      <w:r>
        <w:rPr>
          <w:rFonts w:ascii="Arial" w:cs="Arial" w:eastAsia="Arial" w:hAnsi="Arial"/>
          <w:sz w:val="22"/>
          <w:szCs w:val="22"/>
        </w:rPr>
        <w:t xml:space="preserve">, and the benchmark harness is </w:t>
      </w:r>
      <w:r>
        <w:rPr>
          <w:rFonts w:ascii="Consolas" w:cs="Consolas" w:eastAsia="Consolas" w:hAnsi="Consolas"/>
          <w:sz w:val="20"/>
          <w:szCs w:val="20"/>
        </w:rPr>
        <w:t xml:space="preserve">tools/benchmarks/lewm_plan_benchmark.py</w:t>
      </w:r>
      <w:r>
        <w:rPr>
          <w:rFonts w:ascii="Arial" w:cs="Arial" w:eastAsia="Arial" w:hAnsi="Arial"/>
          <w:sz w:val="22"/>
          <w:szCs w:val="22"/>
        </w:rPr>
        <w:t xml:space="preserve">. The raw per-call records are under </w:t>
      </w:r>
      <w:r>
        <w:rPr>
          <w:rFonts w:ascii="Consolas" w:cs="Consolas" w:eastAsia="Consolas" w:hAnsi="Consolas"/>
          <w:sz w:val="20"/>
          <w:szCs w:val="20"/>
        </w:rPr>
        <w:t xml:space="preserve">results/runs/</w:t>
      </w:r>
      <w:r>
        <w:rPr>
          <w:rFonts w:ascii="Arial" w:cs="Arial" w:eastAsia="Arial" w:hAnsi="Arial"/>
          <w:sz w:val="22"/>
          <w:szCs w:val="22"/>
        </w:rPr>
        <w:t xml:space="preserve">, and the micro-benchmark and numerical records under </w:t>
      </w:r>
      <w:r>
        <w:rPr>
          <w:rFonts w:ascii="Consolas" w:cs="Consolas" w:eastAsia="Consolas" w:hAnsi="Consolas"/>
          <w:sz w:val="20"/>
          <w:szCs w:val="20"/>
        </w:rPr>
        <w:t xml:space="preserve">results/megakernel/</w:t>
      </w:r>
      <w:r>
        <w:rPr>
          <w:rFonts w:ascii="Arial" w:cs="Arial" w:eastAsia="Arial" w:hAnsi="Arial"/>
          <w:sz w:val="22"/>
          <w:szCs w:val="22"/>
        </w:rPr>
        <w:t xml:space="preserve">. The solution program and datasets are in </w:t>
      </w:r>
      <w:r>
        <w:rPr>
          <w:rFonts w:ascii="Consolas" w:cs="Consolas" w:eastAsia="Consolas" w:hAnsi="Consolas"/>
          <w:sz w:val="20"/>
          <w:szCs w:val="20"/>
        </w:rPr>
        <w:t xml:space="preserve">solution_pack/</w:t>
      </w:r>
      <w:r>
        <w:rPr>
          <w:rFonts w:ascii="Arial" w:cs="Arial" w:eastAsia="Arial" w:hAnsi="Arial"/>
          <w:sz w:val="22"/>
          <w:szCs w:val="22"/>
        </w:rPr>
        <w:t xml:space="preserve">, and the report sources in </w:t>
      </w:r>
      <w:r>
        <w:rPr>
          <w:rFonts w:ascii="Consolas" w:cs="Consolas" w:eastAsia="Consolas" w:hAnsi="Consolas"/>
          <w:sz w:val="20"/>
          <w:szCs w:val="20"/>
        </w:rPr>
        <w:t xml:space="preserve">docs/paper/src/</w:t>
      </w:r>
      <w:r>
        <w:rPr>
          <w:rFonts w:ascii="Arial" w:cs="Arial" w:eastAsia="Arial" w:hAnsi="Arial"/>
          <w:sz w:val="22"/>
          <w:szCs w:val="22"/>
        </w:rPr>
        <w:t xml:space="preserve">. The model is LeWM's released Push-T checkpoint, evaluated with stable-worldmodel's </w:t>
      </w:r>
      <w:r>
        <w:rPr>
          <w:rFonts w:ascii="Consolas" w:cs="Consolas" w:eastAsia="Consolas" w:hAnsi="Consolas"/>
          <w:sz w:val="20"/>
          <w:szCs w:val="20"/>
        </w:rPr>
        <w:t xml:space="preserve">swm/PushT-v1</w:t>
      </w:r>
      <w:r>
        <w:rPr>
          <w:rFonts w:ascii="Arial" w:cs="Arial" w:eastAsia="Arial" w:hAnsi="Arial"/>
          <w:sz w:val="22"/>
          <w:szCs w:val="22"/>
        </w:rPr>
        <w:t xml:space="preserve"> environment; ThunderKittens is used at commit </w:t>
      </w:r>
      <w:r>
        <w:rPr>
          <w:rFonts w:ascii="Consolas" w:cs="Consolas" w:eastAsia="Consolas" w:hAnsi="Consolas"/>
          <w:sz w:val="20"/>
          <w:szCs w:val="20"/>
        </w:rPr>
        <w:t xml:space="preserve">67845f5f</w:t>
      </w:r>
      <w:r>
        <w:rPr>
          <w:rFonts w:ascii="Arial" w:cs="Arial" w:eastAsia="Arial" w:hAnsi="Arial"/>
          <w:sz w:val="22"/>
          <w:szCs w:val="22"/>
        </w:rPr>
        <w:t xml:space="preserve">.</w:t>
      </w:r>
    </w:p>
    <w:sectPr>
      <w:footerReference w:type="default" r:id="rId6"/>
      <w:footerReference w:type="firs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fldChar w:fldCharType="begin"/>
    </w:r>
    <w:r>
      <w:rPr>
        <w:rFonts w:ascii="Arial" w:cs="Arial" w:eastAsia="Arial" w:hAnsi="Arial"/>
        <w:sz w:val="20"/>
        <w:szCs w:val="20"/>
      </w:rPr>
      <w:instrText xml:space="preserve">PAGE</w:instrText>
    </w:r>
    <w:r>
      <w:rPr>
        <w:rFonts w:ascii="Arial" w:cs="Arial" w:eastAsia="Arial" w:hAnsi="Arial"/>
        <w:sz w:val="20"/>
        <w:szCs w:val="20"/>
      </w:rPr>
      <w:fldChar w:fldCharType="separate"/>
    </w:r>
    <w:r>
      <w:rPr>
        <w:rFonts w:ascii="Arial" w:cs="Arial" w:eastAsia="Arial" w:hAnsi="Arial"/>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2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4"/>
      <w:szCs w:val="24"/>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d31bf454c1c4cac33bd1019eadcbdc04ee26e9d1.png"/><Relationship Id="rId10" Type="http://schemas.openxmlformats.org/officeDocument/2006/relationships/image" Target="media/048edcb95b7315bd96c07e2f8f6cef313a9586e0.png"/><Relationship Id="rId11" Type="http://schemas.openxmlformats.org/officeDocument/2006/relationships/image" Target="media/734823c502e1d33fdd53ac796c6370b54d0a1e55.png"/><Relationship Id="rId12" Type="http://schemas.openxmlformats.org/officeDocument/2006/relationships/image" Target="media/34e73f57204b6962b17963584c6788a2ad2ae1bc.png"/><Relationship Id="rId13" Type="http://schemas.openxmlformats.org/officeDocument/2006/relationships/image" Target="media/5690e3d19a01ae2e2197209bf32a7e62dd9826d7.png"/><Relationship Id="rId14" Type="http://schemas.openxmlformats.org/officeDocument/2006/relationships/image" Target="media/27d7e9bd5134d36e995cfeba273bf21cb448f707.png"/><Relationship Id="rId15" Type="http://schemas.openxmlformats.org/officeDocument/2006/relationships/image" Target="media/2bd3d12250af3c5ba008dff0df0e78477e85b7eb.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Planning at the Speed of Control</dc:title>
  <dc:creator>Antoine Nguyen</dc:creator>
  <cp:lastModifiedBy>Un-named</cp:lastModifiedBy>
  <cp:revision>1</cp:revision>
  <dcterms:created xsi:type="dcterms:W3CDTF">2026-10-28T03:44:31.281Z</dcterms:created>
  <dcterms:modified xsi:type="dcterms:W3CDTF">2026-10-28T03:44:31.286Z</dcterms:modified>
</cp:coreProperties>
</file>

<file path=docProps/custom.xml><?xml version="1.0" encoding="utf-8"?>
<Properties xmlns="http://schemas.openxmlformats.org/officeDocument/2006/custom-properties" xmlns:vt="http://schemas.openxmlformats.org/officeDocument/2006/docPropsVTypes"/>
</file>