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Project Design Phase</w:t>
      </w:r>
    </w:p>
    <w:p>
      <w:pPr>
        <w:spacing w:before="0" w:after="24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Solution Architecture</w:t>
      </w:r>
    </w:p>
    <w:tbl>
      <w:tblPr/>
      <w:tblGrid>
        <w:gridCol w:w="4680"/>
        <w:gridCol w:w="4680"/>
      </w:tblGrid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Date</w:t>
            </w:r>
          </w:p>
        </w:tc>
        <w:tc>
          <w:tcPr>
            <w:tcW w:w="46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08/10/2026 </w:t>
            </w:r>
          </w:p>
        </w:tc>
      </w:tr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Team ID</w:t>
            </w:r>
          </w:p>
        </w:tc>
        <w:tc>
          <w:tcPr>
            <w:tcW w:w="46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SWTID-2026-3272</w:t>
            </w:r>
          </w:p>
        </w:tc>
      </w:tr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Project Name</w:t>
            </w:r>
          </w:p>
        </w:tc>
        <w:tc>
          <w:tcPr>
            <w:tcW w:w="46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Implement Client Script and UI Policy (Incident)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 ServiceNow</w:t>
            </w:r>
          </w:p>
        </w:tc>
      </w:tr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Maximum Marks</w:t>
            </w:r>
          </w:p>
        </w:tc>
        <w:tc>
          <w:tcPr>
            <w:tcW w:w="46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4 Marks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Solution Architecture:</w:t>
      </w:r>
    </w:p>
    <w:p>
      <w:pPr>
        <w:spacing w:before="0" w:after="1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Solution architecture is a complex process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with many sub-processes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that bridges the gap between business problems and technology solutions. Its goals are to:</w:t>
      </w:r>
    </w:p>
    <w:p>
      <w:pPr>
        <w:numPr>
          <w:ilvl w:val="0"/>
          <w:numId w:val="15"/>
        </w:numPr>
        <w:spacing w:before="0" w:after="10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Find the best tech solution to solve existing business problems.</w:t>
      </w:r>
    </w:p>
    <w:p>
      <w:pPr>
        <w:numPr>
          <w:ilvl w:val="0"/>
          <w:numId w:val="15"/>
        </w:numPr>
        <w:spacing w:before="0" w:after="10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Describe the structure, characteristics, behavior, and other aspects of the software to project stakeholders.</w:t>
      </w:r>
    </w:p>
    <w:p>
      <w:pPr>
        <w:numPr>
          <w:ilvl w:val="0"/>
          <w:numId w:val="15"/>
        </w:numPr>
        <w:spacing w:before="0" w:after="10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Define features, development phases, and solution requirements.</w:t>
      </w:r>
    </w:p>
    <w:p>
      <w:pPr>
        <w:numPr>
          <w:ilvl w:val="0"/>
          <w:numId w:val="15"/>
        </w:numPr>
        <w:spacing w:before="0" w:after="10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Provide specifications according to which the solution is defined, managed, and delivered.</w:t>
      </w:r>
    </w:p>
    <w:p>
      <w:pPr>
        <w:spacing w:before="0" w:after="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Solution Architecture Diagram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Implement Client Script and UI Policy (Incident):</w:t>
      </w:r>
    </w:p>
    <w:p>
      <w:pPr>
        <w:spacing w:before="0" w:after="6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030" w:dyaOrig="4191">
          <v:rect xmlns:o="urn:schemas-microsoft-com:office:office" xmlns:v="urn:schemas-microsoft-com:vml" id="rectole0000000000" style="width:451.500000pt;height:209.5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i/>
          <w:color w:val="auto"/>
          <w:spacing w:val="0"/>
          <w:position w:val="0"/>
          <w:sz w:val="19"/>
          <w:shd w:fill="auto" w:val="clear"/>
        </w:rPr>
        <w:t xml:space="preserve">Figure 1: Architecture and data flow of the client script and UI policy implementation on the ServiceNow Incident form</w:t>
      </w:r>
    </w:p>
    <w:p>
      <w:pPr>
        <w:spacing w:before="0" w:after="1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Business problem and solution:</w:t>
      </w:r>
    </w:p>
    <w:p>
      <w:pPr>
        <w:spacing w:before="0" w:after="1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Incident forms often get incomplete or inconsistent data (missing close notes, wrong fields shown for the state, unclear short descriptions). The solution uses UI Policies for no-code field behaviour and Client Scripts for logic and validation in the browser, backed by server-side rules so data stays trustworthy.</w:t>
      </w:r>
    </w:p>
    <w:p>
      <w:pPr>
        <w:spacing w:before="0" w:after="1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Data flow:</w:t>
      </w:r>
    </w:p>
    <w:p>
      <w:pPr>
        <w:numPr>
          <w:ilvl w:val="0"/>
          <w:numId w:val="20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The caller or fulfiller creates or updates an incident on the form (Option A: Self-Service Portal, Option B: Service Operations Workspace).</w:t>
      </w:r>
    </w:p>
    <w:p>
      <w:pPr>
        <w:numPr>
          <w:ilvl w:val="0"/>
          <w:numId w:val="20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On form load and on every field change, the UI Policy and Client Scripts run in the browser (mandatory / read-only / visible fields, default values, messages via g_form).</w:t>
      </w:r>
    </w:p>
    <w:p>
      <w:pPr>
        <w:numPr>
          <w:ilvl w:val="0"/>
          <w:numId w:val="20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Where server data is needed, a Client Script calls a Script Include asynchronously using GlideAjax.</w:t>
      </w:r>
    </w:p>
    <w:p>
      <w:pPr>
        <w:numPr>
          <w:ilvl w:val="0"/>
          <w:numId w:val="20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On save, the onSubmit script validates the form and sends the validated data to the server.</w:t>
      </w:r>
    </w:p>
    <w:p>
      <w:pPr>
        <w:numPr>
          <w:ilvl w:val="0"/>
          <w:numId w:val="20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Business Rules, Data Policy and ACLs re-validate the data and write it to the incident table.</w:t>
      </w:r>
    </w:p>
    <w:p>
      <w:pPr>
        <w:numPr>
          <w:ilvl w:val="0"/>
          <w:numId w:val="20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The incident event triggers the Notification / Email engine.</w:t>
      </w:r>
    </w:p>
    <w:p>
      <w:pPr>
        <w:numPr>
          <w:ilvl w:val="0"/>
          <w:numId w:val="20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An email is sent to the caller or assignment group.</w:t>
      </w:r>
    </w:p>
    <w:p>
      <w:pPr>
        <w:numPr>
          <w:ilvl w:val="0"/>
          <w:numId w:val="20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The admin / developer configures the UI Policies and Client Scripts in Studio or System UI, captured in an Update Set.</w:t>
      </w:r>
    </w:p>
    <w:p>
      <w:pPr>
        <w:numPr>
          <w:ilvl w:val="0"/>
          <w:numId w:val="20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The Update Set is promoted to Test and Production instances.</w:t>
      </w:r>
    </w:p>
    <w:p>
      <w:pPr>
        <w:spacing w:before="0" w:after="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1"/>
          <w:shd w:fill="auto" w:val="clear"/>
        </w:rPr>
        <w:t xml:space="preserve">Reference: </w:t>
      </w:r>
      <w:hyperlink xmlns:r="http://schemas.openxmlformats.org/officeDocument/2006/relationships" r:id="docRId2">
        <w:r>
          <w:rPr>
            <w:rFonts w:ascii="Arial" w:hAnsi="Arial" w:cs="Arial" w:eastAsia="Arial"/>
            <w:b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https://docs.servicenow.com</w:t>
        </w:r>
      </w:hyperlink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1">
    <w:lvl w:ilvl="0">
      <w:start w:val="1"/>
      <w:numFmt w:val="decimal"/>
      <w:lvlText w:val="%1."/>
    </w:lvl>
  </w:abstractNum>
  <w:num w:numId="15">
    <w:abstractNumId w:val="0"/>
  </w:num>
  <w:num w:numId="20">
    <w:abstractNumId w:val="1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numbering.xml" Id="docRId3" Type="http://schemas.openxmlformats.org/officeDocument/2006/relationships/numbering" /><Relationship Target="embeddings/oleObject0.bin" Id="docRId0" Type="http://schemas.openxmlformats.org/officeDocument/2006/relationships/oleObject" /><Relationship TargetMode="External" Target="https://docs.servicenow.com/" Id="docRId2" Type="http://schemas.openxmlformats.org/officeDocument/2006/relationships/hyperlink" /><Relationship Target="styles.xml" Id="docRId4" Type="http://schemas.openxmlformats.org/officeDocument/2006/relationships/styles" /></Relationships>
</file>