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0E6B8F" w:rsidP="00926793">
      <w:pPr>
        <w:pStyle w:val="Livello1"/>
        <w:numPr>
          <w:ilvl w:val="0"/>
          <w:numId w:val="0"/>
        </w:numPr>
        <w:ind w:left="357"/>
      </w:pPr>
      <w:r w:rsidRPr="000E6B8F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0E6B8F">
        <w:rPr>
          <w:noProof/>
          <w:lang w:val="en-US" w:eastAsia="zh-TW"/>
        </w:rPr>
        <w:pict>
          <v:group id="_x0000_s1041" style="position:absolute;left:0;text-align:left;margin-left:0;margin-top:-40pt;width:595.05pt;height:697.3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063B9A" w:rsidRPr="00C7105F" w:rsidRDefault="00063B9A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Cronologia Preventivi</w:t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063B9A" w:rsidRPr="00C7105F" w:rsidRDefault="00063B9A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4;mso-position-horizontal-relative:margin;mso-position-vertical-relative:margin" filled="f" stroked="f">
              <v:textbox style="mso-next-textbox:#_x0000_s1054;mso-fit-shape-to-text:t">
                <w:txbxContent>
                  <w:p w:rsidR="00063B9A" w:rsidRPr="002C395F" w:rsidRDefault="00063B9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08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063B9A" w:rsidRPr="002C395F" w:rsidRDefault="00063B9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0E6B8F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0E6B8F">
                      <w:rPr>
                        <w:sz w:val="32"/>
                        <w:szCs w:val="32"/>
                      </w:rPr>
                      <w:fldChar w:fldCharType="separate"/>
                    </w:r>
                    <w:r w:rsidR="009F3005">
                      <w:rPr>
                        <w:noProof/>
                        <w:sz w:val="32"/>
                        <w:szCs w:val="32"/>
                      </w:rPr>
                      <w:t>14/08/2015</w:t>
                    </w:r>
                    <w:r w:rsidR="000E6B8F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063B9A" w:rsidRPr="002C395F" w:rsidRDefault="00063B9A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063B9A" w:rsidRDefault="00063B9A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063B9A" w:rsidRPr="00B073E7" w:rsidRDefault="00063B9A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063B9A" w:rsidRDefault="00063B9A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063B9A" w:rsidRPr="002B61D8" w:rsidRDefault="00063B9A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Cronologia Preventivi</w:t>
                    </w: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br/>
                      <w:t>(documento interno)</w:t>
                    </w:r>
                  </w:p>
                  <w:p w:rsidR="00063B9A" w:rsidRDefault="00063B9A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</w:t>
                    </w:r>
                    <w:r w:rsidR="00910220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1</w:t>
                    </w:r>
                  </w:p>
                  <w:p w:rsidR="00063B9A" w:rsidRDefault="00063B9A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063B9A" w:rsidRDefault="00063B9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063B9A" w:rsidRDefault="00063B9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063B9A" w:rsidRDefault="00063B9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063B9A" w:rsidRPr="002B61D8" w:rsidRDefault="00063B9A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0E6B8F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901AEC" w:rsidRDefault="000E6B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0E6B8F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0E6B8F">
        <w:rPr>
          <w:b w:val="0"/>
          <w:bCs w:val="0"/>
          <w:caps w:val="0"/>
        </w:rPr>
        <w:fldChar w:fldCharType="separate"/>
      </w:r>
      <w:r w:rsidR="00901AEC" w:rsidRPr="00383332">
        <w:rPr>
          <w:noProof/>
        </w:rPr>
        <w:t>1.</w:t>
      </w:r>
      <w:r w:rsidR="00901AEC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901AEC">
        <w:rPr>
          <w:noProof/>
        </w:rPr>
        <w:t>MODELLO TABELLA DELLE REVISIONI</w:t>
      </w:r>
      <w:r w:rsidR="00901AEC">
        <w:rPr>
          <w:noProof/>
        </w:rPr>
        <w:tab/>
      </w:r>
      <w:r>
        <w:rPr>
          <w:noProof/>
        </w:rPr>
        <w:fldChar w:fldCharType="begin"/>
      </w:r>
      <w:r w:rsidR="00901AEC">
        <w:rPr>
          <w:noProof/>
        </w:rPr>
        <w:instrText xml:space="preserve"> PAGEREF _Toc427305438 \h </w:instrText>
      </w:r>
      <w:r>
        <w:rPr>
          <w:noProof/>
        </w:rPr>
      </w:r>
      <w:r>
        <w:rPr>
          <w:noProof/>
        </w:rPr>
        <w:fldChar w:fldCharType="separate"/>
      </w:r>
      <w:r w:rsidR="00901AEC">
        <w:rPr>
          <w:noProof/>
        </w:rPr>
        <w:t>3</w:t>
      </w:r>
      <w:r>
        <w:rPr>
          <w:noProof/>
        </w:rPr>
        <w:fldChar w:fldCharType="end"/>
      </w:r>
    </w:p>
    <w:p w:rsidR="00901AEC" w:rsidRDefault="00901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383332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0E6B8F">
        <w:rPr>
          <w:noProof/>
        </w:rPr>
        <w:fldChar w:fldCharType="begin"/>
      </w:r>
      <w:r>
        <w:rPr>
          <w:noProof/>
        </w:rPr>
        <w:instrText xml:space="preserve"> PAGEREF _Toc427305439 \h </w:instrText>
      </w:r>
      <w:r w:rsidR="000E6B8F">
        <w:rPr>
          <w:noProof/>
        </w:rPr>
      </w:r>
      <w:r w:rsidR="000E6B8F">
        <w:rPr>
          <w:noProof/>
        </w:rPr>
        <w:fldChar w:fldCharType="separate"/>
      </w:r>
      <w:r>
        <w:rPr>
          <w:noProof/>
        </w:rPr>
        <w:t>3</w:t>
      </w:r>
      <w:r w:rsidR="000E6B8F">
        <w:rPr>
          <w:noProof/>
        </w:rPr>
        <w:fldChar w:fldCharType="end"/>
      </w:r>
    </w:p>
    <w:p w:rsidR="00901AEC" w:rsidRDefault="00901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383332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0E6B8F">
        <w:rPr>
          <w:noProof/>
        </w:rPr>
        <w:fldChar w:fldCharType="begin"/>
      </w:r>
      <w:r>
        <w:rPr>
          <w:noProof/>
        </w:rPr>
        <w:instrText xml:space="preserve"> PAGEREF _Toc427305440 \h </w:instrText>
      </w:r>
      <w:r w:rsidR="000E6B8F">
        <w:rPr>
          <w:noProof/>
        </w:rPr>
      </w:r>
      <w:r w:rsidR="000E6B8F">
        <w:rPr>
          <w:noProof/>
        </w:rPr>
        <w:fldChar w:fldCharType="separate"/>
      </w:r>
      <w:r>
        <w:rPr>
          <w:noProof/>
        </w:rPr>
        <w:t>3</w:t>
      </w:r>
      <w:r w:rsidR="000E6B8F">
        <w:rPr>
          <w:noProof/>
        </w:rPr>
        <w:fldChar w:fldCharType="end"/>
      </w:r>
    </w:p>
    <w:p w:rsidR="00901AEC" w:rsidRDefault="00901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383332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VERSIONI DEI PREVENTIVI</w:t>
      </w:r>
      <w:r>
        <w:rPr>
          <w:noProof/>
        </w:rPr>
        <w:tab/>
      </w:r>
      <w:r w:rsidR="000E6B8F">
        <w:rPr>
          <w:noProof/>
        </w:rPr>
        <w:fldChar w:fldCharType="begin"/>
      </w:r>
      <w:r>
        <w:rPr>
          <w:noProof/>
        </w:rPr>
        <w:instrText xml:space="preserve"> PAGEREF _Toc427305441 \h </w:instrText>
      </w:r>
      <w:r w:rsidR="000E6B8F">
        <w:rPr>
          <w:noProof/>
        </w:rPr>
      </w:r>
      <w:r w:rsidR="000E6B8F">
        <w:rPr>
          <w:noProof/>
        </w:rPr>
        <w:fldChar w:fldCharType="separate"/>
      </w:r>
      <w:r>
        <w:rPr>
          <w:noProof/>
        </w:rPr>
        <w:t>3</w:t>
      </w:r>
      <w:r w:rsidR="000E6B8F">
        <w:rPr>
          <w:noProof/>
        </w:rPr>
        <w:fldChar w:fldCharType="end"/>
      </w:r>
    </w:p>
    <w:p w:rsidR="00901AEC" w:rsidRDefault="00901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383332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Primo preventivo</w:t>
      </w:r>
      <w:r>
        <w:rPr>
          <w:noProof/>
        </w:rPr>
        <w:tab/>
      </w:r>
      <w:r w:rsidR="000E6B8F">
        <w:rPr>
          <w:noProof/>
        </w:rPr>
        <w:fldChar w:fldCharType="begin"/>
      </w:r>
      <w:r>
        <w:rPr>
          <w:noProof/>
        </w:rPr>
        <w:instrText xml:space="preserve"> PAGEREF _Toc427305442 \h </w:instrText>
      </w:r>
      <w:r w:rsidR="000E6B8F">
        <w:rPr>
          <w:noProof/>
        </w:rPr>
      </w:r>
      <w:r w:rsidR="000E6B8F">
        <w:rPr>
          <w:noProof/>
        </w:rPr>
        <w:fldChar w:fldCharType="separate"/>
      </w:r>
      <w:r>
        <w:rPr>
          <w:noProof/>
        </w:rPr>
        <w:t>3</w:t>
      </w:r>
      <w:r w:rsidR="000E6B8F">
        <w:rPr>
          <w:noProof/>
        </w:rPr>
        <w:fldChar w:fldCharType="end"/>
      </w:r>
    </w:p>
    <w:p w:rsidR="00901AEC" w:rsidRDefault="00901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383332">
        <w:rPr>
          <w:noProof/>
          <w:lang w:bidi="en-US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  <w:lang w:bidi="en-US"/>
        </w:rPr>
        <w:t>Secondo preventivo</w:t>
      </w:r>
      <w:r>
        <w:rPr>
          <w:noProof/>
        </w:rPr>
        <w:tab/>
      </w:r>
      <w:r w:rsidR="000E6B8F">
        <w:rPr>
          <w:noProof/>
        </w:rPr>
        <w:fldChar w:fldCharType="begin"/>
      </w:r>
      <w:r>
        <w:rPr>
          <w:noProof/>
        </w:rPr>
        <w:instrText xml:space="preserve"> PAGEREF _Toc427305443 \h </w:instrText>
      </w:r>
      <w:r w:rsidR="000E6B8F">
        <w:rPr>
          <w:noProof/>
        </w:rPr>
      </w:r>
      <w:r w:rsidR="000E6B8F">
        <w:rPr>
          <w:noProof/>
        </w:rPr>
        <w:fldChar w:fldCharType="separate"/>
      </w:r>
      <w:r>
        <w:rPr>
          <w:noProof/>
        </w:rPr>
        <w:t>6</w:t>
      </w:r>
      <w:r w:rsidR="000E6B8F">
        <w:rPr>
          <w:noProof/>
        </w:rPr>
        <w:fldChar w:fldCharType="end"/>
      </w:r>
    </w:p>
    <w:p w:rsidR="00901AEC" w:rsidRDefault="00901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383332">
        <w:rPr>
          <w:noProof/>
          <w:lang w:bidi="en-US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  <w:lang w:bidi="en-US"/>
        </w:rPr>
        <w:t>Terzo preventivo</w:t>
      </w:r>
      <w:r>
        <w:rPr>
          <w:noProof/>
        </w:rPr>
        <w:tab/>
      </w:r>
      <w:r w:rsidR="000E6B8F">
        <w:rPr>
          <w:noProof/>
        </w:rPr>
        <w:fldChar w:fldCharType="begin"/>
      </w:r>
      <w:r>
        <w:rPr>
          <w:noProof/>
        </w:rPr>
        <w:instrText xml:space="preserve"> PAGEREF _Toc427305455 \h </w:instrText>
      </w:r>
      <w:r w:rsidR="000E6B8F">
        <w:rPr>
          <w:noProof/>
        </w:rPr>
      </w:r>
      <w:r w:rsidR="000E6B8F">
        <w:rPr>
          <w:noProof/>
        </w:rPr>
        <w:fldChar w:fldCharType="separate"/>
      </w:r>
      <w:r>
        <w:rPr>
          <w:noProof/>
        </w:rPr>
        <w:t>7</w:t>
      </w:r>
      <w:r w:rsidR="000E6B8F">
        <w:rPr>
          <w:noProof/>
        </w:rPr>
        <w:fldChar w:fldCharType="end"/>
      </w:r>
    </w:p>
    <w:p w:rsidR="00901AEC" w:rsidRDefault="00901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383332">
        <w:rPr>
          <w:noProof/>
          <w:lang w:bidi="en-US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  <w:lang w:bidi="en-US"/>
        </w:rPr>
        <w:t>Conclusioni finali</w:t>
      </w:r>
      <w:r>
        <w:rPr>
          <w:noProof/>
        </w:rPr>
        <w:tab/>
      </w:r>
      <w:r w:rsidR="000E6B8F">
        <w:rPr>
          <w:noProof/>
        </w:rPr>
        <w:fldChar w:fldCharType="begin"/>
      </w:r>
      <w:r>
        <w:rPr>
          <w:noProof/>
        </w:rPr>
        <w:instrText xml:space="preserve"> PAGEREF _Toc427305456 \h </w:instrText>
      </w:r>
      <w:r w:rsidR="000E6B8F">
        <w:rPr>
          <w:noProof/>
        </w:rPr>
      </w:r>
      <w:r w:rsidR="000E6B8F">
        <w:rPr>
          <w:noProof/>
        </w:rPr>
        <w:fldChar w:fldCharType="separate"/>
      </w:r>
      <w:r>
        <w:rPr>
          <w:noProof/>
        </w:rPr>
        <w:t>8</w:t>
      </w:r>
      <w:r w:rsidR="000E6B8F">
        <w:rPr>
          <w:noProof/>
        </w:rPr>
        <w:fldChar w:fldCharType="end"/>
      </w:r>
    </w:p>
    <w:p w:rsidR="00C61CB2" w:rsidRPr="003C70D7" w:rsidRDefault="000E6B8F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7305438"/>
      <w:r w:rsidR="007169B5">
        <w:t xml:space="preserve">MODELLO </w:t>
      </w:r>
      <w:r w:rsidR="007169B5" w:rsidRPr="00D00840">
        <w:t>TABELLA DELLE REVISIONI</w:t>
      </w:r>
      <w:bookmarkEnd w:id="1"/>
    </w:p>
    <w:p w:rsidR="00FD3DD3" w:rsidRDefault="00FD3DD3" w:rsidP="00D91603">
      <w:pPr>
        <w:pStyle w:val="TestoNormaleBasatosuLivello11"/>
      </w:pPr>
      <w:r>
        <w:t xml:space="preserve">In questo modello viene </w:t>
      </w:r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5"/>
        <w:gridCol w:w="1417"/>
        <w:gridCol w:w="5246"/>
        <w:gridCol w:w="1840"/>
      </w:tblGrid>
      <w:tr w:rsidR="007169B5" w:rsidTr="009F3005">
        <w:tc>
          <w:tcPr>
            <w:tcW w:w="6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9F3005">
        <w:tc>
          <w:tcPr>
            <w:tcW w:w="638" w:type="pct"/>
            <w:tcBorders>
              <w:top w:val="single" w:sz="18" w:space="0" w:color="auto"/>
              <w:bottom w:val="single" w:sz="2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69B5" w:rsidRPr="00721FBE" w:rsidRDefault="007E5C07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01-08-2015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5" w:type="pct"/>
            <w:tcBorders>
              <w:top w:val="single" w:sz="18" w:space="0" w:color="auto"/>
              <w:left w:val="single" w:sz="2" w:space="0" w:color="auto"/>
              <w:bottom w:val="single" w:sz="2" w:space="0" w:color="auto"/>
            </w:tcBorders>
          </w:tcPr>
          <w:p w:rsidR="007169B5" w:rsidRPr="00721FBE" w:rsidRDefault="003436AB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9F3005" w:rsidTr="009F3005">
        <w:tc>
          <w:tcPr>
            <w:tcW w:w="638" w:type="pct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9F3005" w:rsidRPr="00721FBE" w:rsidRDefault="009F3005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2/1.1</w:t>
            </w:r>
          </w:p>
        </w:tc>
        <w:tc>
          <w:tcPr>
            <w:tcW w:w="727" w:type="pct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9F3005" w:rsidRDefault="009F3005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10-08-2015</w:t>
            </w:r>
          </w:p>
        </w:tc>
        <w:tc>
          <w:tcPr>
            <w:tcW w:w="2691" w:type="pct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9F3005" w:rsidRPr="00721FBE" w:rsidRDefault="009F3005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Correzione condivisa sul contenuto</w:t>
            </w:r>
          </w:p>
        </w:tc>
        <w:tc>
          <w:tcPr>
            <w:tcW w:w="945" w:type="pct"/>
            <w:tcBorders>
              <w:top w:val="single" w:sz="2" w:space="0" w:color="auto"/>
              <w:left w:val="single" w:sz="2" w:space="0" w:color="auto"/>
              <w:bottom w:val="dotted" w:sz="4" w:space="0" w:color="auto"/>
            </w:tcBorders>
          </w:tcPr>
          <w:p w:rsidR="009F3005" w:rsidRDefault="009F3005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3436AB">
        <w:tc>
          <w:tcPr>
            <w:tcW w:w="638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5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3436AB">
        <w:tc>
          <w:tcPr>
            <w:tcW w:w="638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3436AB">
              <w:rPr>
                <w:b/>
                <w:lang w:val="it-IT" w:bidi="en-US"/>
              </w:rPr>
              <w:t>1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FD3DD3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3436AB">
              <w:rPr>
                <w:b/>
                <w:lang w:val="it-IT" w:bidi="en-US"/>
              </w:rPr>
              <w:t>0</w:t>
            </w:r>
          </w:p>
        </w:tc>
        <w:tc>
          <w:tcPr>
            <w:tcW w:w="945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7305439"/>
      <w:r w:rsidRPr="00D00840">
        <w:t>SCOPO DE</w:t>
      </w:r>
      <w:r>
        <w:t>L DOCUMENTO</w:t>
      </w:r>
      <w:bookmarkEnd w:id="2"/>
    </w:p>
    <w:p w:rsidR="007169B5" w:rsidRDefault="007E5C07" w:rsidP="009A63EE">
      <w:pPr>
        <w:pStyle w:val="TestoNormaleBasatosuLivello11"/>
      </w:pPr>
      <w:r>
        <w:t xml:space="preserve">Scopo di questo documento è quello di riassumere gli ormai numerosi preventivi calcolati, </w:t>
      </w:r>
      <w:r w:rsidR="00691741">
        <w:t>e spiegarne i ragionamenti e gli errori. Si cercherà di fare il “punto della situazione”, di spiegare le perplessità residue e si cercherà di dare</w:t>
      </w:r>
      <w:r w:rsidR="00E84F70">
        <w:t xml:space="preserve"> una definitiva versione di preventivo e relativo conteggio e quindi comunicare al cliente una cifra che rappresenti il costo definitivo.</w:t>
      </w:r>
    </w:p>
    <w:p w:rsidR="007169B5" w:rsidRPr="00D00840" w:rsidRDefault="007169B5" w:rsidP="007169B5">
      <w:pPr>
        <w:pStyle w:val="Livello1"/>
      </w:pPr>
      <w:bookmarkStart w:id="3" w:name="_Toc427305440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864CDC" w:rsidRDefault="00034288" w:rsidP="00864CDC">
      <w:pPr>
        <w:pStyle w:val="Livello1"/>
      </w:pPr>
      <w:bookmarkStart w:id="4" w:name="_Toc427305441"/>
      <w:r>
        <w:t>VERSIONI DEI PREVENTIVI</w:t>
      </w:r>
      <w:bookmarkEnd w:id="4"/>
    </w:p>
    <w:p w:rsidR="0087395F" w:rsidRDefault="00034288" w:rsidP="00D91603">
      <w:pPr>
        <w:pStyle w:val="TestoNormaleBasatosuLivello11"/>
      </w:pPr>
      <w:r>
        <w:t xml:space="preserve">Cominciamo a fare un </w:t>
      </w:r>
      <w:r w:rsidR="0004109E">
        <w:t>elenco dei vari preventivi presentati:</w:t>
      </w:r>
      <w:r w:rsidR="0004109E">
        <w:br/>
      </w:r>
    </w:p>
    <w:tbl>
      <w:tblPr>
        <w:tblW w:w="4917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798"/>
        <w:gridCol w:w="1435"/>
        <w:gridCol w:w="1704"/>
        <w:gridCol w:w="1702"/>
        <w:gridCol w:w="2107"/>
        <w:gridCol w:w="2000"/>
      </w:tblGrid>
      <w:tr w:rsidR="00063B9A" w:rsidTr="00063B9A">
        <w:tc>
          <w:tcPr>
            <w:tcW w:w="41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8C0992" w:rsidRPr="00721FBE" w:rsidRDefault="008C0992" w:rsidP="00063B9A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Prev</w:t>
            </w:r>
            <w:r w:rsidR="00AE0C12">
              <w:rPr>
                <w:b/>
                <w:bCs/>
                <w:color w:val="FFFFFF"/>
                <w:lang w:val="it-IT" w:bidi="en-US"/>
              </w:rPr>
              <w:t>.</w:t>
            </w:r>
          </w:p>
        </w:tc>
        <w:tc>
          <w:tcPr>
            <w:tcW w:w="73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Default="008C0992" w:rsidP="00EF0E1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87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Pr="00721FBE" w:rsidRDefault="008C0992" w:rsidP="00EF0E1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Importo senza IVA</w:t>
            </w:r>
          </w:p>
        </w:tc>
        <w:tc>
          <w:tcPr>
            <w:tcW w:w="87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Pr="00721FBE" w:rsidRDefault="008C0992" w:rsidP="00EF0E1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Importo con IVA</w:t>
            </w:r>
          </w:p>
        </w:tc>
        <w:tc>
          <w:tcPr>
            <w:tcW w:w="108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Pr="00721FBE" w:rsidRDefault="00B64537" w:rsidP="00EF0E1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Manutenzione</w:t>
            </w:r>
          </w:p>
        </w:tc>
        <w:tc>
          <w:tcPr>
            <w:tcW w:w="10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Pr="00721FBE" w:rsidRDefault="008C0992" w:rsidP="00063B9A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Retribuzione</w:t>
            </w:r>
            <w:r w:rsidR="00813150">
              <w:rPr>
                <w:b/>
                <w:bCs/>
                <w:color w:val="FFFFFF"/>
                <w:lang w:val="it-IT" w:bidi="en-US"/>
              </w:rPr>
              <w:t xml:space="preserve"> oraria</w:t>
            </w:r>
          </w:p>
        </w:tc>
      </w:tr>
      <w:tr w:rsidR="00063B9A" w:rsidTr="00063B9A">
        <w:tc>
          <w:tcPr>
            <w:tcW w:w="410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8C0992" w:rsidRDefault="0005594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1.0</w:t>
            </w:r>
          </w:p>
        </w:tc>
        <w:tc>
          <w:tcPr>
            <w:tcW w:w="736" w:type="pct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:rsidR="008C0992" w:rsidRDefault="00AE0C12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04-05-2015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B6453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5.6</w:t>
            </w:r>
            <w:r w:rsidR="00364445">
              <w:rPr>
                <w:lang w:bidi="en-US"/>
              </w:rPr>
              <w:t>98</w:t>
            </w:r>
            <w:r w:rsidR="003219F0" w:rsidRPr="002B3AAF">
              <w:rPr>
                <w:lang w:bidi="en-US"/>
              </w:rPr>
              <w:t>,86</w:t>
            </w:r>
            <w:r w:rsidR="003D2C26">
              <w:rPr>
                <w:lang w:bidi="en-US"/>
              </w:rPr>
              <w:t xml:space="preserve"> euro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B6453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6</w:t>
            </w:r>
            <w:r w:rsidR="00364445">
              <w:rPr>
                <w:lang w:bidi="en-US"/>
              </w:rPr>
              <w:t>.</w:t>
            </w:r>
            <w:r>
              <w:rPr>
                <w:lang w:bidi="en-US"/>
              </w:rPr>
              <w:t>951,39</w:t>
            </w:r>
            <w:r w:rsidR="003D2C26">
              <w:rPr>
                <w:lang w:bidi="en-US"/>
              </w:rPr>
              <w:t xml:space="preserve"> euro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8C0992" w:rsidRDefault="003D2C26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779,00 euro</w:t>
            </w:r>
            <w:r w:rsidR="00CA39C7">
              <w:rPr>
                <w:lang w:bidi="en-US"/>
              </w:rPr>
              <w:t xml:space="preserve"> (15%)</w:t>
            </w:r>
          </w:p>
        </w:tc>
        <w:tc>
          <w:tcPr>
            <w:tcW w:w="1027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8C0992" w:rsidRDefault="003D2C26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10,93 euro/ora</w:t>
            </w:r>
          </w:p>
        </w:tc>
      </w:tr>
      <w:tr w:rsidR="00063B9A" w:rsidTr="00063B9A">
        <w:tc>
          <w:tcPr>
            <w:tcW w:w="410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8C0992" w:rsidRDefault="0072475C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2.0</w:t>
            </w:r>
          </w:p>
        </w:tc>
        <w:tc>
          <w:tcPr>
            <w:tcW w:w="73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22-07-2015</w:t>
            </w:r>
          </w:p>
        </w:tc>
        <w:tc>
          <w:tcPr>
            <w:tcW w:w="8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CA39C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15.724,48 euro</w:t>
            </w:r>
          </w:p>
        </w:tc>
        <w:tc>
          <w:tcPr>
            <w:tcW w:w="8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CA39C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19.184,37 euro</w:t>
            </w:r>
          </w:p>
        </w:tc>
        <w:tc>
          <w:tcPr>
            <w:tcW w:w="10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1.918,43 euro (10%)</w:t>
            </w:r>
          </w:p>
        </w:tc>
        <w:tc>
          <w:tcPr>
            <w:tcW w:w="10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8,00 euro/ora</w:t>
            </w:r>
          </w:p>
        </w:tc>
      </w:tr>
      <w:tr w:rsidR="00063B9A" w:rsidTr="00063B9A">
        <w:tc>
          <w:tcPr>
            <w:tcW w:w="410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8C0992" w:rsidRDefault="00AE0C12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3.0</w:t>
            </w:r>
          </w:p>
        </w:tc>
        <w:tc>
          <w:tcPr>
            <w:tcW w:w="736" w:type="pct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09-08-2015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24.038,77 euro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29.827,30 euro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2.403,87 euro (10%)</w:t>
            </w:r>
          </w:p>
        </w:tc>
        <w:tc>
          <w:tcPr>
            <w:tcW w:w="1027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15,00 euro/ora</w:t>
            </w:r>
          </w:p>
        </w:tc>
      </w:tr>
      <w:tr w:rsidR="00063B9A" w:rsidTr="00063B9A">
        <w:tc>
          <w:tcPr>
            <w:tcW w:w="410" w:type="pct"/>
            <w:tcBorders>
              <w:top w:val="single" w:sz="4" w:space="0" w:color="auto"/>
            </w:tcBorders>
            <w:noWrap/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736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874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873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1081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</w:tr>
      <w:tr w:rsidR="00063B9A" w:rsidRPr="002D7553" w:rsidTr="00063B9A">
        <w:tc>
          <w:tcPr>
            <w:tcW w:w="41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8C0992" w:rsidRPr="00721FBE" w:rsidRDefault="008C0992" w:rsidP="00063B9A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4590" w:type="pct"/>
            <w:gridSpan w:val="5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8C0992" w:rsidRPr="00721FBE" w:rsidRDefault="008C0992" w:rsidP="00063B9A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Totali e/o dati </w:t>
            </w:r>
            <w:r>
              <w:rPr>
                <w:b/>
                <w:lang w:val="it-IT" w:bidi="en-US"/>
              </w:rPr>
              <w:t>R</w:t>
            </w:r>
            <w:r w:rsidRPr="00721FBE">
              <w:rPr>
                <w:b/>
                <w:lang w:val="it-IT" w:bidi="en-US"/>
              </w:rPr>
              <w:t>iassuntivi</w:t>
            </w:r>
            <w:r w:rsidR="00813150">
              <w:rPr>
                <w:b/>
                <w:lang w:val="it-IT" w:bidi="en-US"/>
              </w:rPr>
              <w:t xml:space="preserve"> 3</w:t>
            </w:r>
          </w:p>
        </w:tc>
      </w:tr>
    </w:tbl>
    <w:p w:rsidR="00590AA3" w:rsidRDefault="00EF086B" w:rsidP="00567635">
      <w:pPr>
        <w:pStyle w:val="Livello1"/>
      </w:pPr>
      <w:bookmarkStart w:id="5" w:name="_Toc427305442"/>
      <w:r>
        <w:t>Primo preventivo</w:t>
      </w:r>
      <w:bookmarkEnd w:id="5"/>
      <w:r w:rsidR="00590AA3">
        <w:br/>
      </w:r>
    </w:p>
    <w:p w:rsidR="00EF086B" w:rsidRPr="00843BD1" w:rsidRDefault="00590AA3" w:rsidP="00567635">
      <w:pPr>
        <w:pStyle w:val="Livello11"/>
      </w:pPr>
      <w:r w:rsidRPr="00843BD1">
        <w:t>Ragionamento</w:t>
      </w:r>
    </w:p>
    <w:p w:rsidR="00A975FD" w:rsidRDefault="00863685" w:rsidP="00A975FD">
      <w:pPr>
        <w:pStyle w:val="TestoNormaleBasatosuLivello11"/>
      </w:pPr>
      <w:r>
        <w:t>La prima proposta di acquisto con il relativo prezzo, fu fatta il giorno della presentazione avvenuto in data</w:t>
      </w:r>
      <w:r w:rsidR="00AA6922">
        <w:t xml:space="preserve"> 4 Maggio 2015</w:t>
      </w:r>
      <w:r>
        <w:t>; in quel</w:t>
      </w:r>
      <w:r w:rsidR="0004109E">
        <w:t xml:space="preserve"> giorno</w:t>
      </w:r>
      <w:r w:rsidR="00FE7D0F">
        <w:t>,</w:t>
      </w:r>
      <w:r w:rsidR="0004109E">
        <w:t xml:space="preserve"> presentammo </w:t>
      </w:r>
      <w:r w:rsidR="005B2A68">
        <w:t>una cifra pari a 5.697,86</w:t>
      </w:r>
      <w:r w:rsidR="00FE7D0F">
        <w:t xml:space="preserve"> euro (iva esclusa)</w:t>
      </w:r>
      <w:r w:rsidR="004C00DD">
        <w:br/>
        <w:t>(preventivo 1.0)</w:t>
      </w:r>
      <w:r w:rsidR="0016776B">
        <w:t>.</w:t>
      </w:r>
      <w:r w:rsidR="004C00DD">
        <w:t xml:space="preserve"> </w:t>
      </w:r>
      <w:r w:rsidR="0016776B">
        <w:br/>
        <w:t>C</w:t>
      </w:r>
      <w:r w:rsidR="004C00DD">
        <w:t>iò che portò a tale ammontare fu un calcolo</w:t>
      </w:r>
      <w:r w:rsidR="0016776B">
        <w:t xml:space="preserve"> empi</w:t>
      </w:r>
      <w:r w:rsidR="0087395F">
        <w:t>ri</w:t>
      </w:r>
      <w:r w:rsidR="0016776B">
        <w:t>co e sperimentale,</w:t>
      </w:r>
      <w:r w:rsidR="004C00DD">
        <w:t xml:space="preserve"> fatto</w:t>
      </w:r>
      <w:r w:rsidR="00647A76">
        <w:t xml:space="preserve"> sull’</w:t>
      </w:r>
      <w:r w:rsidR="004C00DD">
        <w:t>ipot</w:t>
      </w:r>
      <w:r w:rsidR="00647A76">
        <w:t>esi del</w:t>
      </w:r>
      <w:r w:rsidR="004C00DD">
        <w:t>la costituzione di una piccola impresa di tre dipendenti</w:t>
      </w:r>
      <w:r w:rsidR="00647A76">
        <w:t>, allo scopo di capire quali costi</w:t>
      </w:r>
      <w:r>
        <w:t>,</w:t>
      </w:r>
      <w:r w:rsidR="00647A76">
        <w:t xml:space="preserve"> presumibilmente reali</w:t>
      </w:r>
      <w:r>
        <w:t>,</w:t>
      </w:r>
      <w:r w:rsidR="00647A76">
        <w:t xml:space="preserve"> si debbano affrontare</w:t>
      </w:r>
      <w:r>
        <w:t xml:space="preserve"> in una tale ipotesi</w:t>
      </w:r>
      <w:r w:rsidR="00647A76">
        <w:t xml:space="preserve"> </w:t>
      </w:r>
      <w:r w:rsidR="00A01744">
        <w:t>(prospetto costi 1.0)</w:t>
      </w:r>
      <w:r w:rsidR="004C00DD">
        <w:t>.</w:t>
      </w:r>
      <w:r w:rsidR="00647A76">
        <w:br/>
      </w:r>
      <w:r>
        <w:t xml:space="preserve">In tale conteggio si è cercato di contabilizzare tutti i costi possibili immaginabili </w:t>
      </w:r>
      <w:r w:rsidR="00647A76">
        <w:t>nella costituzione dell’impresa stessa</w:t>
      </w:r>
      <w:r>
        <w:t xml:space="preserve">, anche se, purtroppo, senza averne avuto una </w:t>
      </w:r>
      <w:r w:rsidR="00375268">
        <w:t>reale esperienza precedente</w:t>
      </w:r>
      <w:r>
        <w:t>, ma solo cercando di documentarci</w:t>
      </w:r>
      <w:r w:rsidR="00AA6922">
        <w:t xml:space="preserve"> per quanto ci è stato possibile</w:t>
      </w:r>
      <w:r>
        <w:t xml:space="preserve">. </w:t>
      </w:r>
      <w:r w:rsidR="00AA6922">
        <w:br/>
      </w:r>
      <w:r>
        <w:t>I costi vanno</w:t>
      </w:r>
      <w:r w:rsidR="00647A76">
        <w:t xml:space="preserve"> dagli strumenti sw di lavoro</w:t>
      </w:r>
      <w:r w:rsidR="0006582F">
        <w:t>,</w:t>
      </w:r>
      <w:r w:rsidR="00647A76">
        <w:t xml:space="preserve"> all’</w:t>
      </w:r>
      <w:r>
        <w:t>affitto del locale</w:t>
      </w:r>
      <w:r w:rsidR="0006582F">
        <w:t>, dalle tasse e imposte</w:t>
      </w:r>
      <w:r>
        <w:t>, fino,</w:t>
      </w:r>
      <w:r w:rsidR="0006582F">
        <w:t xml:space="preserve"> ovviamente, </w:t>
      </w:r>
      <w:r>
        <w:t>al</w:t>
      </w:r>
      <w:r w:rsidR="0006582F">
        <w:t xml:space="preserve">la manodopera, </w:t>
      </w:r>
      <w:r>
        <w:t>rappresentata</w:t>
      </w:r>
      <w:r w:rsidR="0006582F">
        <w:t xml:space="preserve"> dagli stipendi dei dipendenti.</w:t>
      </w:r>
      <w:r w:rsidR="00A975FD">
        <w:br/>
        <w:t xml:space="preserve">Si </w:t>
      </w:r>
      <w:r w:rsidR="000C36F8">
        <w:t>sono altresì considerati altri</w:t>
      </w:r>
      <w:r w:rsidR="00A975FD">
        <w:t xml:space="preserve"> progetti eseguiti contemporaneamente a quello della fumetteria pertanto tutti i costi vengono distribuiti su un più ampio spettro di impieghi.</w:t>
      </w:r>
    </w:p>
    <w:p w:rsidR="000C36F8" w:rsidRDefault="0006582F" w:rsidP="00B158A2">
      <w:pPr>
        <w:pStyle w:val="TestoNormaleBasatosuLivello11"/>
      </w:pPr>
      <w:r>
        <w:t>In tale ipotesi si sono considerati i seguenti dati:</w:t>
      </w:r>
      <w:r w:rsidR="00843BD1">
        <w:br/>
      </w:r>
    </w:p>
    <w:p w:rsidR="000C36F8" w:rsidRPr="00D052F2" w:rsidRDefault="000C36F8" w:rsidP="00292DC2">
      <w:pPr>
        <w:pStyle w:val="Elenco"/>
        <w:numPr>
          <w:ilvl w:val="0"/>
          <w:numId w:val="3"/>
        </w:numPr>
      </w:pPr>
      <w:r w:rsidRPr="00D052F2">
        <w:rPr>
          <w:rStyle w:val="ElencoChar"/>
          <w:i w:val="0"/>
        </w:rPr>
        <w:t xml:space="preserve">una retribuzione lorda annua pari a 25000 euro per dipendente, corrispondente a 10,93 euro/ora lordi (8,37 </w:t>
      </w:r>
      <w:r w:rsidR="00C1669C" w:rsidRPr="00D052F2">
        <w:rPr>
          <w:rStyle w:val="ElencoChar"/>
          <w:i w:val="0"/>
        </w:rPr>
        <w:t xml:space="preserve">euro/ora </w:t>
      </w:r>
      <w:r w:rsidRPr="00D052F2">
        <w:rPr>
          <w:rStyle w:val="ElencoChar"/>
          <w:i w:val="0"/>
        </w:rPr>
        <w:t>netti);</w:t>
      </w:r>
    </w:p>
    <w:p w:rsidR="000C36F8" w:rsidRPr="00D052F2" w:rsidRDefault="000C36F8" w:rsidP="00292DC2">
      <w:pPr>
        <w:pStyle w:val="Elenco"/>
        <w:numPr>
          <w:ilvl w:val="0"/>
          <w:numId w:val="3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una sede stabile: un piccolo ufficio ammobiliato a canone mensile;</w:t>
      </w:r>
    </w:p>
    <w:p w:rsidR="000C36F8" w:rsidRPr="00D052F2" w:rsidRDefault="00B22420" w:rsidP="00292DC2">
      <w:pPr>
        <w:pStyle w:val="Elenco"/>
        <w:numPr>
          <w:ilvl w:val="0"/>
          <w:numId w:val="3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a</w:t>
      </w:r>
      <w:r w:rsidR="000C36F8" w:rsidRPr="00D052F2">
        <w:rPr>
          <w:rStyle w:val="ElencoChar"/>
          <w:i w:val="0"/>
        </w:rPr>
        <w:t>ltri 3 progetti contemporanei (oltre a quello della fumetteria);</w:t>
      </w:r>
    </w:p>
    <w:p w:rsidR="00C1669C" w:rsidRPr="00D052F2" w:rsidRDefault="00B22420" w:rsidP="00292DC2">
      <w:pPr>
        <w:pStyle w:val="Elenco"/>
        <w:numPr>
          <w:ilvl w:val="0"/>
          <w:numId w:val="3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u</w:t>
      </w:r>
      <w:r w:rsidR="00C1669C" w:rsidRPr="00D052F2">
        <w:rPr>
          <w:rStyle w:val="ElencoChar"/>
          <w:i w:val="0"/>
        </w:rPr>
        <w:t>na serie di strumenti HW e SW oltre che beni di consumo che sostanzialmente rappresentano costi;</w:t>
      </w:r>
    </w:p>
    <w:p w:rsidR="00B22420" w:rsidRPr="00D052F2" w:rsidRDefault="00C1669C" w:rsidP="00292DC2">
      <w:pPr>
        <w:pStyle w:val="Elenco"/>
        <w:numPr>
          <w:ilvl w:val="0"/>
          <w:numId w:val="3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Le seguenti imposte e/o incombenze fiscali conosciute: IRPEF, INPS, INAIL e ANMIL</w:t>
      </w:r>
    </w:p>
    <w:p w:rsidR="00B22420" w:rsidRPr="00D052F2" w:rsidRDefault="00B22420" w:rsidP="00292DC2">
      <w:pPr>
        <w:pStyle w:val="Elenco"/>
        <w:numPr>
          <w:ilvl w:val="0"/>
          <w:numId w:val="3"/>
        </w:numPr>
      </w:pPr>
      <w:r w:rsidRPr="00D052F2">
        <w:rPr>
          <w:lang w:bidi="en-US"/>
        </w:rPr>
        <w:t>un costo per verifica del funzionamento del Sistema a regime pari a 300 euro;</w:t>
      </w:r>
    </w:p>
    <w:p w:rsidR="00A119F7" w:rsidRDefault="00B22420" w:rsidP="00292DC2">
      <w:pPr>
        <w:pStyle w:val="Elenco"/>
        <w:numPr>
          <w:ilvl w:val="0"/>
          <w:numId w:val="3"/>
        </w:numPr>
      </w:pPr>
      <w:r w:rsidRPr="00D052F2">
        <w:rPr>
          <w:lang w:bidi="en-US"/>
        </w:rPr>
        <w:t>un costo per la formazione del personale pari a 200 euro;</w:t>
      </w:r>
      <w:r w:rsidRPr="00D052F2">
        <w:rPr>
          <w:lang w:bidi="en-US"/>
        </w:rPr>
        <w:br/>
      </w:r>
    </w:p>
    <w:p w:rsidR="00820D0B" w:rsidRDefault="00500EA2" w:rsidP="00A119F7">
      <w:pPr>
        <w:pStyle w:val="Elenco"/>
      </w:pPr>
      <w:r>
        <w:rPr>
          <w:lang w:bidi="en-US"/>
        </w:rPr>
        <w:t>Nel procedimento del calcolo</w:t>
      </w:r>
      <w:r w:rsidR="00F63C8B">
        <w:rPr>
          <w:lang w:bidi="en-US"/>
        </w:rPr>
        <w:t>, i costi</w:t>
      </w:r>
      <w:r>
        <w:rPr>
          <w:lang w:bidi="en-US"/>
        </w:rPr>
        <w:t xml:space="preserve"> sono</w:t>
      </w:r>
      <w:r w:rsidR="00F63C8B">
        <w:rPr>
          <w:lang w:bidi="en-US"/>
        </w:rPr>
        <w:t xml:space="preserve"> stati considerati su base mensile: </w:t>
      </w:r>
      <w:r w:rsidR="00676FA3">
        <w:rPr>
          <w:lang w:bidi="en-US"/>
        </w:rPr>
        <w:t>a partire dal</w:t>
      </w:r>
      <w:r w:rsidR="00F63C8B">
        <w:rPr>
          <w:lang w:bidi="en-US"/>
        </w:rPr>
        <w:t>la retribuzione</w:t>
      </w:r>
      <w:r w:rsidR="00676FA3">
        <w:rPr>
          <w:lang w:bidi="en-US"/>
        </w:rPr>
        <w:t xml:space="preserve"> del personale che rappresenta la principale componente.</w:t>
      </w:r>
      <w:r w:rsidR="00F63C8B">
        <w:rPr>
          <w:lang w:bidi="en-US"/>
        </w:rPr>
        <w:t xml:space="preserve"> </w:t>
      </w:r>
    </w:p>
    <w:p w:rsidR="00B72E0A" w:rsidRDefault="00820D0B" w:rsidP="00B158A2">
      <w:pPr>
        <w:pStyle w:val="TestoNormaleBasatosuLivello11"/>
        <w:rPr>
          <w:lang w:bidi="en-US"/>
        </w:rPr>
      </w:pPr>
      <w:r>
        <w:rPr>
          <w:lang w:bidi="en-US"/>
        </w:rPr>
        <w:t xml:space="preserve">Tra i costi troviamo sia voci il cui </w:t>
      </w:r>
      <w:r w:rsidR="00B22420">
        <w:rPr>
          <w:lang w:bidi="en-US"/>
        </w:rPr>
        <w:t>importo</w:t>
      </w:r>
      <w:r>
        <w:rPr>
          <w:lang w:bidi="en-US"/>
        </w:rPr>
        <w:t xml:space="preserve"> è già quantificato alla fonte come </w:t>
      </w:r>
      <w:r w:rsidR="007A0F2B">
        <w:rPr>
          <w:lang w:bidi="en-US"/>
        </w:rPr>
        <w:t xml:space="preserve">costo </w:t>
      </w:r>
      <w:r w:rsidR="00500EA2">
        <w:rPr>
          <w:lang w:bidi="en-US"/>
        </w:rPr>
        <w:t>mensile, sia costi pluriennali</w:t>
      </w:r>
      <w:r w:rsidR="00B22420">
        <w:rPr>
          <w:lang w:bidi="en-US"/>
        </w:rPr>
        <w:t>,</w:t>
      </w:r>
      <w:r w:rsidR="00500EA2">
        <w:rPr>
          <w:lang w:bidi="en-US"/>
        </w:rPr>
        <w:t xml:space="preserve"> la cui quota mensile è stata calcolata presumendo un certo numero di anni di utilizzo  che fosse il più verosimile possibile.</w:t>
      </w:r>
      <w:r w:rsidR="00676FA3">
        <w:rPr>
          <w:lang w:bidi="en-US"/>
        </w:rPr>
        <w:t xml:space="preserve"> La classificazione dei costi per uso e durata ha portato naturalmente alla distinzione degli stessi in tabelle; tipicamente i costi per gli strumenti HW e SW sono da considerarsi costi pluriennali; di cui si è calcolata una quota di ammortamento</w:t>
      </w:r>
      <w:r w:rsidR="007217DA">
        <w:rPr>
          <w:lang w:bidi="en-US"/>
        </w:rPr>
        <w:t xml:space="preserve"> (o di competenza)</w:t>
      </w:r>
      <w:r w:rsidR="00676FA3">
        <w:rPr>
          <w:lang w:bidi="en-US"/>
        </w:rPr>
        <w:t xml:space="preserve"> mensile</w:t>
      </w:r>
      <w:r w:rsidR="007217DA">
        <w:rPr>
          <w:lang w:bidi="en-US"/>
        </w:rPr>
        <w:t xml:space="preserve"> che possa considerarsi</w:t>
      </w:r>
      <w:r w:rsidR="00A64DE4">
        <w:rPr>
          <w:lang w:bidi="en-US"/>
        </w:rPr>
        <w:t xml:space="preserve"> parte del costo del progetto.</w:t>
      </w:r>
      <w:r w:rsidR="00A64DE4">
        <w:rPr>
          <w:lang w:bidi="en-US"/>
        </w:rPr>
        <w:br/>
        <w:t xml:space="preserve">In una tabella separata, si è cercato di quantificare similmente anche il costo di competenza del CM attribuibile al progetto, considerandolo </w:t>
      </w:r>
      <w:r w:rsidR="00363998">
        <w:rPr>
          <w:lang w:bidi="en-US"/>
        </w:rPr>
        <w:t>come uno strumento</w:t>
      </w:r>
      <w:r w:rsidR="00C03F29">
        <w:rPr>
          <w:lang w:bidi="en-US"/>
        </w:rPr>
        <w:t xml:space="preserve"> pluriennale,</w:t>
      </w:r>
      <w:r w:rsidR="00363998">
        <w:rPr>
          <w:lang w:bidi="en-US"/>
        </w:rPr>
        <w:t xml:space="preserve"> in </w:t>
      </w:r>
      <w:r w:rsidR="00C03F29">
        <w:rPr>
          <w:lang w:bidi="en-US"/>
        </w:rPr>
        <w:t>q</w:t>
      </w:r>
      <w:r w:rsidR="00363998">
        <w:rPr>
          <w:lang w:bidi="en-US"/>
        </w:rPr>
        <w:t xml:space="preserve">uanto </w:t>
      </w:r>
      <w:r w:rsidR="00A64DE4">
        <w:rPr>
          <w:lang w:bidi="en-US"/>
        </w:rPr>
        <w:t>documento valido in generale per tutti i progetti dell’azienda</w:t>
      </w:r>
      <w:r w:rsidR="00B22420">
        <w:rPr>
          <w:lang w:bidi="en-US"/>
        </w:rPr>
        <w:t>;</w:t>
      </w:r>
      <w:r w:rsidR="00A64DE4">
        <w:rPr>
          <w:lang w:bidi="en-US"/>
        </w:rPr>
        <w:t xml:space="preserve"> </w:t>
      </w:r>
      <w:r w:rsidR="00C03F29">
        <w:rPr>
          <w:lang w:bidi="en-US"/>
        </w:rPr>
        <w:t>anche se la sua vita è soggetta a continue modifiche e quindi di difficile quantificazione</w:t>
      </w:r>
      <w:r w:rsidR="00B22420">
        <w:rPr>
          <w:lang w:bidi="en-US"/>
        </w:rPr>
        <w:t>;</w:t>
      </w:r>
      <w:r w:rsidR="00C03F29">
        <w:rPr>
          <w:lang w:bidi="en-US"/>
        </w:rPr>
        <w:t xml:space="preserve"> abbiamo </w:t>
      </w:r>
      <w:r w:rsidR="00B22420">
        <w:rPr>
          <w:lang w:bidi="en-US"/>
        </w:rPr>
        <w:t xml:space="preserve">perciò </w:t>
      </w:r>
      <w:r w:rsidR="00C03F29">
        <w:rPr>
          <w:lang w:bidi="en-US"/>
        </w:rPr>
        <w:t>presunto una vita di 3 anni il cui costo è da suddividere tra i vari progetti contemporanei.</w:t>
      </w:r>
      <w:r>
        <w:rPr>
          <w:lang w:bidi="en-US"/>
        </w:rPr>
        <w:t xml:space="preserve"> </w:t>
      </w:r>
    </w:p>
    <w:p w:rsidR="00843BD1" w:rsidRDefault="00B72E0A" w:rsidP="00B158A2">
      <w:pPr>
        <w:pStyle w:val="TestoNormaleBasatosuLivello11"/>
        <w:rPr>
          <w:lang w:bidi="en-US"/>
        </w:rPr>
      </w:pPr>
      <w:r>
        <w:rPr>
          <w:lang w:bidi="en-US"/>
        </w:rPr>
        <w:t>Gli altri costi, essendo già quantificati mensilmente, sono solo da distribuire</w:t>
      </w:r>
      <w:r w:rsidR="002716E3">
        <w:rPr>
          <w:lang w:bidi="en-US"/>
        </w:rPr>
        <w:t xml:space="preserve"> sui vari progetti ipoteticamente in corso</w:t>
      </w:r>
      <w:r w:rsidR="0041533E">
        <w:rPr>
          <w:lang w:bidi="en-US"/>
        </w:rPr>
        <w:t>.</w:t>
      </w:r>
      <w:r w:rsidR="00843BD1">
        <w:rPr>
          <w:lang w:bidi="en-US"/>
        </w:rPr>
        <w:br/>
      </w:r>
    </w:p>
    <w:p w:rsidR="00843BD1" w:rsidRPr="00D052F2" w:rsidRDefault="00590AA3" w:rsidP="00292DC2">
      <w:pPr>
        <w:pStyle w:val="Elenco"/>
        <w:numPr>
          <w:ilvl w:val="0"/>
          <w:numId w:val="4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Il prezzo del S</w:t>
      </w:r>
      <w:r w:rsidR="000C36F8" w:rsidRPr="00D052F2">
        <w:rPr>
          <w:rStyle w:val="ElencoChar"/>
          <w:i w:val="0"/>
        </w:rPr>
        <w:t xml:space="preserve">istema </w:t>
      </w:r>
      <w:r w:rsidRPr="00D052F2">
        <w:rPr>
          <w:rStyle w:val="ElencoChar"/>
          <w:i w:val="0"/>
        </w:rPr>
        <w:t xml:space="preserve">è risultato </w:t>
      </w:r>
      <w:r w:rsidR="000C36F8" w:rsidRPr="00D052F2">
        <w:rPr>
          <w:rStyle w:val="ElencoChar"/>
          <w:i w:val="0"/>
        </w:rPr>
        <w:t xml:space="preserve">pari a </w:t>
      </w:r>
      <w:r w:rsidR="009A75E5" w:rsidRPr="00D052F2">
        <w:rPr>
          <w:rStyle w:val="ElencoChar"/>
          <w:i w:val="0"/>
        </w:rPr>
        <w:t>5.6</w:t>
      </w:r>
      <w:r w:rsidR="000C36F8" w:rsidRPr="00D052F2">
        <w:rPr>
          <w:rStyle w:val="ElencoChar"/>
          <w:i w:val="0"/>
        </w:rPr>
        <w:t>97,86</w:t>
      </w:r>
      <w:r w:rsidR="00843BD1" w:rsidRPr="00D052F2">
        <w:rPr>
          <w:rStyle w:val="ElencoChar"/>
          <w:i w:val="0"/>
        </w:rPr>
        <w:t xml:space="preserve"> euro;</w:t>
      </w:r>
    </w:p>
    <w:p w:rsidR="00843BD1" w:rsidRPr="00D052F2" w:rsidRDefault="000C36F8" w:rsidP="00292DC2">
      <w:pPr>
        <w:pStyle w:val="Elenco"/>
        <w:numPr>
          <w:ilvl w:val="0"/>
          <w:numId w:val="4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I</w:t>
      </w:r>
      <w:r w:rsidR="00843BD1" w:rsidRPr="00D052F2">
        <w:rPr>
          <w:rStyle w:val="ElencoChar"/>
          <w:i w:val="0"/>
        </w:rPr>
        <w:t xml:space="preserve">VA al 22% pari a 1235,53 euro; </w:t>
      </w:r>
    </w:p>
    <w:p w:rsidR="00843BD1" w:rsidRPr="00D052F2" w:rsidRDefault="000C36F8" w:rsidP="00292DC2">
      <w:pPr>
        <w:pStyle w:val="Elenco"/>
        <w:numPr>
          <w:ilvl w:val="0"/>
          <w:numId w:val="4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 xml:space="preserve">per un totale di </w:t>
      </w:r>
      <w:r w:rsidR="00EF3D46" w:rsidRPr="00D052F2">
        <w:rPr>
          <w:rStyle w:val="ElencoChar"/>
          <w:i w:val="0"/>
        </w:rPr>
        <w:t>6951,39 euro</w:t>
      </w:r>
      <w:r w:rsidR="00843BD1" w:rsidRPr="00D052F2">
        <w:rPr>
          <w:rStyle w:val="ElencoChar"/>
          <w:i w:val="0"/>
        </w:rPr>
        <w:t>;</w:t>
      </w:r>
    </w:p>
    <w:p w:rsidR="00843BD1" w:rsidRDefault="003219F0" w:rsidP="00292DC2">
      <w:pPr>
        <w:pStyle w:val="Elenco"/>
        <w:numPr>
          <w:ilvl w:val="0"/>
          <w:numId w:val="4"/>
        </w:numPr>
        <w:rPr>
          <w:rStyle w:val="ElencoChar"/>
        </w:rPr>
      </w:pPr>
      <w:r w:rsidRPr="00D052F2">
        <w:rPr>
          <w:rStyle w:val="ElencoChar"/>
          <w:i w:val="0"/>
        </w:rPr>
        <w:t>In fine è stato proposto un costo per un contratto di manutenzione pari al 15% del valore di acquisto</w:t>
      </w:r>
      <w:r w:rsidR="003522F6" w:rsidRPr="00D052F2">
        <w:rPr>
          <w:rStyle w:val="ElencoChar"/>
          <w:i w:val="0"/>
        </w:rPr>
        <w:t xml:space="preserve">, quindi pari a </w:t>
      </w:r>
      <w:r w:rsidR="009A75E5" w:rsidRPr="00D052F2">
        <w:rPr>
          <w:rStyle w:val="ElencoChar"/>
          <w:i w:val="0"/>
        </w:rPr>
        <w:t>779,00 euro annui (IVA esclusa)</w:t>
      </w:r>
      <w:r w:rsidR="00843BD1" w:rsidRPr="00D052F2">
        <w:rPr>
          <w:rStyle w:val="ElencoChar"/>
          <w:i w:val="0"/>
        </w:rPr>
        <w:br/>
      </w:r>
    </w:p>
    <w:p w:rsidR="00590AA3" w:rsidRPr="00843BD1" w:rsidRDefault="00843BD1" w:rsidP="00843BD1">
      <w:pPr>
        <w:spacing w:after="0" w:line="240" w:lineRule="auto"/>
        <w:rPr>
          <w:rStyle w:val="ElencoChar"/>
        </w:rPr>
      </w:pPr>
      <w:r>
        <w:rPr>
          <w:rStyle w:val="ElencoChar"/>
        </w:rPr>
        <w:br w:type="page"/>
      </w:r>
    </w:p>
    <w:p w:rsidR="00590AA3" w:rsidRPr="00843BD1" w:rsidRDefault="00590AA3" w:rsidP="00567635">
      <w:pPr>
        <w:pStyle w:val="Livello11"/>
      </w:pPr>
      <w:r w:rsidRPr="00843BD1">
        <w:t>Errori</w:t>
      </w:r>
    </w:p>
    <w:p w:rsidR="00BD3F69" w:rsidRDefault="001804EF" w:rsidP="00B158A2">
      <w:pPr>
        <w:pStyle w:val="TestoNormaleBasatosuLivello11"/>
        <w:rPr>
          <w:lang w:bidi="en-US"/>
        </w:rPr>
      </w:pPr>
      <w:r>
        <w:rPr>
          <w:lang w:bidi="en-US"/>
        </w:rPr>
        <w:t xml:space="preserve">Il problema di </w:t>
      </w:r>
      <w:r w:rsidR="00590AA3">
        <w:rPr>
          <w:lang w:bidi="en-US"/>
        </w:rPr>
        <w:t xml:space="preserve">questo valore, che </w:t>
      </w:r>
      <w:r>
        <w:rPr>
          <w:lang w:bidi="en-US"/>
        </w:rPr>
        <w:t>è evidentemente molto diverso</w:t>
      </w:r>
      <w:r w:rsidR="00590AA3">
        <w:rPr>
          <w:lang w:bidi="en-US"/>
        </w:rPr>
        <w:t xml:space="preserve"> a paragone c</w:t>
      </w:r>
      <w:r>
        <w:rPr>
          <w:lang w:bidi="en-US"/>
        </w:rPr>
        <w:t xml:space="preserve">on quello degli altri gruppi, sta nel fatto che è </w:t>
      </w:r>
      <w:r w:rsidR="00590AA3">
        <w:rPr>
          <w:lang w:bidi="en-US"/>
        </w:rPr>
        <w:t>fondamentalmente sbagliato!</w:t>
      </w:r>
      <w:r w:rsidR="00590AA3">
        <w:rPr>
          <w:lang w:bidi="en-US"/>
        </w:rPr>
        <w:br/>
        <w:t>E’ stato commesso un grossolano errore di calcolo (oltre a vari eventuali errori di metodo): abbiamo incluso in questa cifra il costo di un solo dipendente, invece che moltiplicarla per 3.</w:t>
      </w:r>
      <w:r w:rsidR="00843BD1">
        <w:rPr>
          <w:lang w:bidi="en-US"/>
        </w:rPr>
        <w:br/>
      </w:r>
    </w:p>
    <w:p w:rsidR="00843BD1" w:rsidRPr="00843BD1" w:rsidRDefault="00EF3D46" w:rsidP="00567635">
      <w:pPr>
        <w:pStyle w:val="Livello11"/>
      </w:pPr>
      <w:r w:rsidRPr="00843BD1">
        <w:t>Correzioni</w:t>
      </w:r>
    </w:p>
    <w:p w:rsidR="0041533E" w:rsidRDefault="00EF3D46" w:rsidP="00EF3D46">
      <w:pPr>
        <w:pStyle w:val="TestoNormaleBasatosuLivello11"/>
        <w:rPr>
          <w:lang w:bidi="en-US"/>
        </w:rPr>
      </w:pPr>
      <w:r>
        <w:rPr>
          <w:lang w:bidi="en-US"/>
        </w:rPr>
        <w:t xml:space="preserve">Nel calcolo </w:t>
      </w:r>
      <w:r w:rsidRPr="00714467">
        <w:rPr>
          <w:lang w:bidi="en-US"/>
        </w:rPr>
        <w:t>successivo</w:t>
      </w:r>
      <w:r w:rsidR="008A48F1">
        <w:rPr>
          <w:lang w:bidi="en-US"/>
        </w:rPr>
        <w:t xml:space="preserve"> (prospetto costi 3.0) </w:t>
      </w:r>
      <w:r w:rsidRPr="00714467">
        <w:rPr>
          <w:lang w:bidi="en-US"/>
        </w:rPr>
        <w:t>è stato corretto l’errore di calcolo nel costo totale della manodopera ed è stato rivisto il modo in cui venivano conteggiati tutti gli altri costi per una maggior chiarezza</w:t>
      </w:r>
      <w:r w:rsidR="00DC2BDD">
        <w:rPr>
          <w:lang w:bidi="en-US"/>
        </w:rPr>
        <w:t>.</w:t>
      </w:r>
      <w:r w:rsidR="003219F0">
        <w:rPr>
          <w:lang w:bidi="en-US"/>
        </w:rPr>
        <w:t xml:space="preserve"> Alcuni di essi sono stati modificati perché sono stati rivisti i periodi di funzionamento del bene o del servizio relativo al </w:t>
      </w:r>
      <w:r w:rsidR="00C77801">
        <w:rPr>
          <w:lang w:bidi="en-US"/>
        </w:rPr>
        <w:t>singolo costo.</w:t>
      </w:r>
      <w:r w:rsidR="00843BD1">
        <w:rPr>
          <w:lang w:bidi="en-US"/>
        </w:rPr>
        <w:br/>
      </w:r>
    </w:p>
    <w:p w:rsidR="00843BD1" w:rsidRPr="00D32CFC" w:rsidRDefault="00EF3D46" w:rsidP="00292DC2">
      <w:pPr>
        <w:pStyle w:val="Elenco"/>
        <w:numPr>
          <w:ilvl w:val="0"/>
          <w:numId w:val="5"/>
        </w:numPr>
        <w:rPr>
          <w:rStyle w:val="ElencoChar"/>
          <w:i w:val="0"/>
          <w:lang w:bidi="en-US"/>
        </w:rPr>
      </w:pPr>
      <w:r w:rsidRPr="00D32CFC">
        <w:rPr>
          <w:rStyle w:val="ElencoChar"/>
          <w:i w:val="0"/>
        </w:rPr>
        <w:t xml:space="preserve">Il nuovo totale è pari a 29.745,52 euro (Iva esclusa);  </w:t>
      </w:r>
    </w:p>
    <w:p w:rsidR="00843BD1" w:rsidRPr="00D32CFC" w:rsidRDefault="00EF3D46" w:rsidP="00292DC2">
      <w:pPr>
        <w:pStyle w:val="Elenco"/>
        <w:numPr>
          <w:ilvl w:val="0"/>
          <w:numId w:val="5"/>
        </w:numPr>
        <w:rPr>
          <w:rStyle w:val="ElencoChar"/>
          <w:i w:val="0"/>
          <w:lang w:bidi="en-US"/>
        </w:rPr>
      </w:pPr>
      <w:r w:rsidRPr="00D32CFC">
        <w:rPr>
          <w:rStyle w:val="ElencoChar"/>
          <w:i w:val="0"/>
        </w:rPr>
        <w:t>IVA al 22% pari a 6.544,01 euro;</w:t>
      </w:r>
    </w:p>
    <w:p w:rsidR="005B2A68" w:rsidRPr="005B2A68" w:rsidRDefault="00EF3D46" w:rsidP="00292DC2">
      <w:pPr>
        <w:pStyle w:val="Elenco"/>
        <w:numPr>
          <w:ilvl w:val="0"/>
          <w:numId w:val="5"/>
        </w:numPr>
        <w:rPr>
          <w:rStyle w:val="ElencoChar"/>
          <w:lang w:bidi="en-US"/>
        </w:rPr>
      </w:pPr>
      <w:r w:rsidRPr="00D32CFC">
        <w:rPr>
          <w:rStyle w:val="ElencoChar"/>
          <w:i w:val="0"/>
        </w:rPr>
        <w:t>per un tot</w:t>
      </w:r>
      <w:r w:rsidR="005B2A68">
        <w:rPr>
          <w:rStyle w:val="ElencoChar"/>
          <w:i w:val="0"/>
        </w:rPr>
        <w:t>ale di 36.289,54 euro;</w:t>
      </w:r>
    </w:p>
    <w:p w:rsidR="009E45CE" w:rsidRDefault="00BA371D" w:rsidP="00292DC2">
      <w:pPr>
        <w:pStyle w:val="Elenco"/>
        <w:numPr>
          <w:ilvl w:val="0"/>
          <w:numId w:val="5"/>
        </w:numPr>
        <w:rPr>
          <w:rStyle w:val="ElencoChar"/>
          <w:i w:val="0"/>
          <w:lang w:bidi="en-US"/>
        </w:rPr>
      </w:pPr>
      <w:r w:rsidRPr="00D052F2">
        <w:rPr>
          <w:rStyle w:val="ElencoChar"/>
          <w:i w:val="0"/>
        </w:rPr>
        <w:t>un costo per un contratto di manutenzione pari al 1</w:t>
      </w:r>
      <w:r>
        <w:rPr>
          <w:rStyle w:val="ElencoChar"/>
          <w:i w:val="0"/>
        </w:rPr>
        <w:t>0</w:t>
      </w:r>
      <w:r w:rsidRPr="00D052F2">
        <w:rPr>
          <w:rStyle w:val="ElencoChar"/>
          <w:i w:val="0"/>
        </w:rPr>
        <w:t xml:space="preserve">% del valore di acquisto, quindi pari a </w:t>
      </w:r>
      <w:r>
        <w:rPr>
          <w:rStyle w:val="ElencoChar"/>
          <w:i w:val="0"/>
        </w:rPr>
        <w:t>2</w:t>
      </w:r>
      <w:r w:rsidR="009E45CE">
        <w:rPr>
          <w:rStyle w:val="ElencoChar"/>
          <w:i w:val="0"/>
        </w:rPr>
        <w:t>.</w:t>
      </w:r>
      <w:r>
        <w:rPr>
          <w:rStyle w:val="ElencoChar"/>
          <w:i w:val="0"/>
        </w:rPr>
        <w:t>974,55</w:t>
      </w:r>
      <w:r w:rsidRPr="00D052F2">
        <w:rPr>
          <w:rStyle w:val="ElencoChar"/>
          <w:i w:val="0"/>
        </w:rPr>
        <w:t xml:space="preserve"> euro annui</w:t>
      </w:r>
      <w:r w:rsidR="009E45CE">
        <w:rPr>
          <w:rStyle w:val="ElencoChar"/>
          <w:i w:val="0"/>
        </w:rPr>
        <w:t>.</w:t>
      </w:r>
    </w:p>
    <w:p w:rsidR="00FC65F9" w:rsidRPr="005B2A68" w:rsidRDefault="009E45CE" w:rsidP="009E45CE">
      <w:pPr>
        <w:pStyle w:val="Elenco"/>
        <w:rPr>
          <w:lang w:bidi="en-US"/>
        </w:rPr>
      </w:pPr>
      <w:r>
        <w:rPr>
          <w:rStyle w:val="ElencoChar"/>
          <w:i w:val="0"/>
        </w:rPr>
        <w:t>Il valore del contratto di manutenzione è stato diminuito in ragione del maggior valore raggiunto.</w:t>
      </w:r>
      <w:r w:rsidR="00EF3D46" w:rsidRPr="005B2A68">
        <w:rPr>
          <w:lang w:bidi="en-US"/>
        </w:rPr>
        <w:br/>
      </w:r>
    </w:p>
    <w:p w:rsidR="00843BD1" w:rsidRPr="00843BD1" w:rsidRDefault="00843BD1" w:rsidP="00567635">
      <w:pPr>
        <w:pStyle w:val="Livello11"/>
      </w:pPr>
      <w:r w:rsidRPr="00843BD1">
        <w:t>Considerazioni</w:t>
      </w:r>
    </w:p>
    <w:p w:rsidR="00FC65F9" w:rsidRDefault="008A48F1" w:rsidP="0041533E">
      <w:pPr>
        <w:pStyle w:val="TestoNormaleBasatosuLivello11"/>
        <w:rPr>
          <w:lang w:bidi="en-US"/>
        </w:rPr>
      </w:pPr>
      <w:r>
        <w:rPr>
          <w:lang w:bidi="en-US"/>
        </w:rPr>
        <w:t xml:space="preserve">Errore a parte… Quando si è cercato di quantificare il valore del Sistema per ipotizzare una possibile offerta si è cercato di rimanere il </w:t>
      </w:r>
      <w:r w:rsidR="009E45CE">
        <w:rPr>
          <w:lang w:bidi="en-US"/>
        </w:rPr>
        <w:t>“</w:t>
      </w:r>
      <w:r>
        <w:rPr>
          <w:lang w:bidi="en-US"/>
        </w:rPr>
        <w:t>più bassi</w:t>
      </w:r>
      <w:r w:rsidR="009E45CE">
        <w:rPr>
          <w:lang w:bidi="en-US"/>
        </w:rPr>
        <w:t>”</w:t>
      </w:r>
      <w:r>
        <w:rPr>
          <w:lang w:bidi="en-US"/>
        </w:rPr>
        <w:t xml:space="preserve"> possibile… ovvero ci eravamo dati un limite superiore alla cifra finale che sarebbe dovuta risultare, inducendoci in numerosi errori senza farci accorgere degli stessi e soprattutto lasciandoci molto perplessi e spiazzati quando, al momento della presentazione fatta dagli altri gruppi, ci siamo accorti di aver sottostimato di molto il valore commerciale del Sistema.</w:t>
      </w:r>
      <w:r w:rsidR="009E45CE">
        <w:rPr>
          <w:lang w:bidi="en-US"/>
        </w:rPr>
        <w:t xml:space="preserve"> </w:t>
      </w:r>
      <w:r>
        <w:rPr>
          <w:lang w:bidi="en-US"/>
        </w:rPr>
        <w:br/>
      </w:r>
      <w:r>
        <w:rPr>
          <w:lang w:bidi="en-US"/>
        </w:rPr>
        <w:br/>
        <w:t xml:space="preserve">In realtà la modalità stessa con cui sono stati eseguiti i calcoli ci lascia numerosi dubbi in quanto rappresenta un tentativo </w:t>
      </w:r>
      <w:r w:rsidR="0041533E">
        <w:rPr>
          <w:lang w:bidi="en-US"/>
        </w:rPr>
        <w:t xml:space="preserve">(forse goffo) </w:t>
      </w:r>
      <w:r>
        <w:rPr>
          <w:lang w:bidi="en-US"/>
        </w:rPr>
        <w:t xml:space="preserve">di quantificazione e stima del prezzo. Non può pertanto considerarsi un metodo sicuro. </w:t>
      </w:r>
      <w:r>
        <w:rPr>
          <w:lang w:bidi="en-US"/>
        </w:rPr>
        <w:br/>
        <w:t>Può però forse lasciarci qualche idea di quelle che potrebbero essere l</w:t>
      </w:r>
      <w:r w:rsidR="0041533E">
        <w:rPr>
          <w:lang w:bidi="en-US"/>
        </w:rPr>
        <w:t>e difficoltà concrete alle quali fare fronte nel dover essere finanziariamente coperti durante l’attività professionale di progettazione e sviluppo SW (e in generale in qualsiasi altra attività aziendale), per quanto piccola,   del tipo di impegno necessario affiché l’attività stessa risulti remunerativa.</w:t>
      </w:r>
      <w:r w:rsidR="003522F6">
        <w:rPr>
          <w:lang w:bidi="en-US"/>
        </w:rPr>
        <w:br/>
      </w:r>
      <w:r w:rsidR="003522F6">
        <w:rPr>
          <w:lang w:bidi="en-US"/>
        </w:rPr>
        <w:br/>
        <w:t>Su suggerimento del Professor Pighin</w:t>
      </w:r>
      <w:r w:rsidR="00E36DBE">
        <w:rPr>
          <w:lang w:bidi="en-US"/>
        </w:rPr>
        <w:t>,</w:t>
      </w:r>
      <w:r w:rsidR="003522F6">
        <w:rPr>
          <w:lang w:bidi="en-US"/>
        </w:rPr>
        <w:t xml:space="preserve"> potremmo proporre</w:t>
      </w:r>
      <w:r w:rsidR="00E36DBE">
        <w:rPr>
          <w:lang w:bidi="en-US"/>
        </w:rPr>
        <w:t>,</w:t>
      </w:r>
      <w:r w:rsidR="003522F6">
        <w:rPr>
          <w:lang w:bidi="en-US"/>
        </w:rPr>
        <w:t xml:space="preserve"> </w:t>
      </w:r>
      <w:r w:rsidR="00E36DBE">
        <w:rPr>
          <w:lang w:bidi="en-US"/>
        </w:rPr>
        <w:t xml:space="preserve">come price to win, </w:t>
      </w:r>
      <w:r w:rsidR="003522F6">
        <w:rPr>
          <w:lang w:bidi="en-US"/>
        </w:rPr>
        <w:t>la cifra più bassa</w:t>
      </w:r>
      <w:r w:rsidR="00E36DBE">
        <w:rPr>
          <w:lang w:bidi="en-US"/>
        </w:rPr>
        <w:t>”:</w:t>
      </w:r>
      <w:r w:rsidR="003522F6">
        <w:rPr>
          <w:lang w:bidi="en-US"/>
        </w:rPr>
        <w:t xml:space="preserve"> quella risultante dal primo calcolo, sebbene sbagliato</w:t>
      </w:r>
      <w:r w:rsidR="00E36DBE">
        <w:rPr>
          <w:lang w:bidi="en-US"/>
        </w:rPr>
        <w:t xml:space="preserve"> </w:t>
      </w:r>
      <w:r w:rsidR="003522F6">
        <w:rPr>
          <w:lang w:bidi="en-US"/>
        </w:rPr>
        <w:t>e sebbene ci farebbe</w:t>
      </w:r>
      <w:r w:rsidR="00B20D95">
        <w:rPr>
          <w:lang w:bidi="en-US"/>
        </w:rPr>
        <w:t xml:space="preserve"> probabilmente</w:t>
      </w:r>
      <w:r w:rsidR="003522F6">
        <w:rPr>
          <w:lang w:bidi="en-US"/>
        </w:rPr>
        <w:t xml:space="preserve"> </w:t>
      </w:r>
      <w:r w:rsidR="008E235C">
        <w:rPr>
          <w:lang w:bidi="en-US"/>
        </w:rPr>
        <w:t>“</w:t>
      </w:r>
      <w:r w:rsidR="003522F6">
        <w:rPr>
          <w:lang w:bidi="en-US"/>
        </w:rPr>
        <w:t>lavorare in perdita</w:t>
      </w:r>
      <w:r w:rsidR="00B20D95">
        <w:rPr>
          <w:lang w:bidi="en-US"/>
        </w:rPr>
        <w:t>”</w:t>
      </w:r>
      <w:r w:rsidR="00E36DBE">
        <w:rPr>
          <w:lang w:bidi="en-US"/>
        </w:rPr>
        <w:t xml:space="preserve">, </w:t>
      </w:r>
      <w:r w:rsidR="003522F6">
        <w:rPr>
          <w:lang w:bidi="en-US"/>
        </w:rPr>
        <w:t xml:space="preserve">magari </w:t>
      </w:r>
      <w:r w:rsidR="00E36DBE">
        <w:rPr>
          <w:lang w:bidi="en-US"/>
        </w:rPr>
        <w:t xml:space="preserve">con un occhio alla reale media di prezzi </w:t>
      </w:r>
      <w:r w:rsidR="00B20D95">
        <w:rPr>
          <w:lang w:bidi="en-US"/>
        </w:rPr>
        <w:t xml:space="preserve">esistenti nel mercato </w:t>
      </w:r>
      <w:r w:rsidR="00E36DBE">
        <w:rPr>
          <w:lang w:bidi="en-US"/>
        </w:rPr>
        <w:t>per sistemi simili</w:t>
      </w:r>
      <w:r w:rsidR="00B20D95">
        <w:rPr>
          <w:lang w:bidi="en-US"/>
        </w:rPr>
        <w:t>, non quelli degli altri gruppi: quelli della realtà</w:t>
      </w:r>
      <w:r w:rsidR="00E36DBE">
        <w:rPr>
          <w:lang w:bidi="en-US"/>
        </w:rPr>
        <w:t xml:space="preserve"> (quindi si ragionerebbe anche per analogia)</w:t>
      </w:r>
      <w:r w:rsidR="008E235C">
        <w:rPr>
          <w:lang w:bidi="en-US"/>
        </w:rPr>
        <w:t>.</w:t>
      </w:r>
    </w:p>
    <w:p w:rsidR="00843BD1" w:rsidRDefault="003953D4" w:rsidP="0041533E">
      <w:pPr>
        <w:pStyle w:val="TestoNormaleBasatosuLivello11"/>
        <w:rPr>
          <w:lang w:bidi="en-US"/>
        </w:rPr>
      </w:pPr>
      <w:r>
        <w:rPr>
          <w:lang w:bidi="en-US"/>
        </w:rPr>
        <w:t>Resta però che dopo la correzione e dopo il confronto con l’ultimo Cocomo (terzo preventivo),  questa soluzione sembra meglio escluderla.</w:t>
      </w:r>
      <w:r>
        <w:rPr>
          <w:lang w:bidi="en-US"/>
        </w:rPr>
        <w:br/>
      </w:r>
    </w:p>
    <w:p w:rsidR="00EF086B" w:rsidRDefault="00EF086B" w:rsidP="00567635">
      <w:pPr>
        <w:pStyle w:val="Livello1"/>
        <w:rPr>
          <w:lang w:bidi="en-US"/>
        </w:rPr>
      </w:pPr>
      <w:bookmarkStart w:id="6" w:name="_Toc427305443"/>
      <w:r>
        <w:rPr>
          <w:lang w:bidi="en-US"/>
        </w:rPr>
        <w:t>Secondo preventivo</w:t>
      </w:r>
      <w:bookmarkEnd w:id="6"/>
      <w:r w:rsidR="0041533E">
        <w:rPr>
          <w:lang w:bidi="en-US"/>
        </w:rPr>
        <w:br/>
      </w:r>
    </w:p>
    <w:p w:rsidR="0041533E" w:rsidRDefault="0041533E" w:rsidP="00567635">
      <w:pPr>
        <w:pStyle w:val="Livello11"/>
        <w:rPr>
          <w:lang w:bidi="en-US"/>
        </w:rPr>
      </w:pPr>
      <w:r>
        <w:rPr>
          <w:lang w:bidi="en-US"/>
        </w:rPr>
        <w:t>Ragionam</w:t>
      </w:r>
      <w:r w:rsidR="00802F1B">
        <w:rPr>
          <w:lang w:bidi="en-US"/>
        </w:rPr>
        <w:t>e</w:t>
      </w:r>
      <w:r>
        <w:rPr>
          <w:lang w:bidi="en-US"/>
        </w:rPr>
        <w:t>nto</w:t>
      </w:r>
    </w:p>
    <w:p w:rsidR="003953D4" w:rsidRDefault="000C36F8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7" w:name="_Toc426835834"/>
      <w:bookmarkStart w:id="8" w:name="_Toc427305444"/>
      <w:r w:rsidRPr="000C36F8">
        <w:rPr>
          <w:b w:val="0"/>
          <w:caps w:val="0"/>
          <w:u w:val="none"/>
        </w:rPr>
        <w:t>Subito dopo la p</w:t>
      </w:r>
      <w:r w:rsidR="0041533E">
        <w:rPr>
          <w:b w:val="0"/>
          <w:caps w:val="0"/>
          <w:u w:val="none"/>
        </w:rPr>
        <w:t xml:space="preserve">resentazione, confrontando i risultati di cui sopra </w:t>
      </w:r>
      <w:r w:rsidRPr="000C36F8">
        <w:rPr>
          <w:b w:val="0"/>
          <w:caps w:val="0"/>
          <w:u w:val="none"/>
        </w:rPr>
        <w:t>con quelli degli altri gruppi</w:t>
      </w:r>
      <w:r w:rsidR="0041533E">
        <w:rPr>
          <w:b w:val="0"/>
          <w:caps w:val="0"/>
          <w:u w:val="none"/>
        </w:rPr>
        <w:t>, che a parte un caso</w:t>
      </w:r>
      <w:r w:rsidR="008E235C">
        <w:rPr>
          <w:b w:val="0"/>
          <w:caps w:val="0"/>
          <w:u w:val="none"/>
        </w:rPr>
        <w:t>,</w:t>
      </w:r>
      <w:r w:rsidR="0041533E">
        <w:rPr>
          <w:b w:val="0"/>
          <w:caps w:val="0"/>
          <w:u w:val="none"/>
        </w:rPr>
        <w:t xml:space="preserve"> si sono attestati in media intorno ai 16.000 euro, </w:t>
      </w:r>
      <w:r w:rsidRPr="000C36F8">
        <w:rPr>
          <w:b w:val="0"/>
          <w:caps w:val="0"/>
          <w:u w:val="none"/>
        </w:rPr>
        <w:t>seguendo i suggerimenti del professor Pighin, abbia</w:t>
      </w:r>
      <w:r w:rsidR="0041533E">
        <w:rPr>
          <w:b w:val="0"/>
          <w:caps w:val="0"/>
          <w:u w:val="none"/>
        </w:rPr>
        <w:t>mo considerato altre soluzioni; prima fra tutte l’applicazione del metodo COCOMO</w:t>
      </w:r>
      <w:r w:rsidR="0097127B">
        <w:rPr>
          <w:b w:val="0"/>
          <w:caps w:val="0"/>
          <w:u w:val="none"/>
        </w:rPr>
        <w:t xml:space="preserve"> (Calcolo COCOMO 1.1)</w:t>
      </w:r>
      <w:r w:rsidR="00B7516D">
        <w:rPr>
          <w:b w:val="0"/>
          <w:caps w:val="0"/>
          <w:u w:val="none"/>
        </w:rPr>
        <w:t>.</w:t>
      </w:r>
      <w:r w:rsidR="00802F1B">
        <w:rPr>
          <w:b w:val="0"/>
          <w:caps w:val="0"/>
          <w:u w:val="none"/>
        </w:rPr>
        <w:br/>
      </w:r>
      <w:r w:rsidR="003219F0">
        <w:rPr>
          <w:b w:val="0"/>
          <w:caps w:val="0"/>
          <w:u w:val="none"/>
        </w:rPr>
        <w:t xml:space="preserve">Dal quale abbiamo </w:t>
      </w:r>
      <w:r w:rsidR="00435257">
        <w:rPr>
          <w:b w:val="0"/>
          <w:caps w:val="0"/>
          <w:u w:val="none"/>
        </w:rPr>
        <w:t xml:space="preserve">ricavato </w:t>
      </w:r>
      <w:r w:rsidR="00D66450">
        <w:rPr>
          <w:b w:val="0"/>
          <w:caps w:val="0"/>
          <w:u w:val="none"/>
        </w:rPr>
        <w:t xml:space="preserve">un effort pari a </w:t>
      </w:r>
      <w:r w:rsidR="00435257">
        <w:rPr>
          <w:b w:val="0"/>
          <w:caps w:val="0"/>
          <w:u w:val="none"/>
        </w:rPr>
        <w:t>258 persone/mese</w:t>
      </w:r>
      <w:r w:rsidR="00D66450">
        <w:rPr>
          <w:b w:val="0"/>
          <w:caps w:val="0"/>
          <w:u w:val="none"/>
        </w:rPr>
        <w:t xml:space="preserve">, </w:t>
      </w:r>
      <w:r w:rsidR="00435257">
        <w:rPr>
          <w:b w:val="0"/>
          <w:caps w:val="0"/>
          <w:u w:val="none"/>
        </w:rPr>
        <w:t xml:space="preserve">un </w:t>
      </w:r>
      <w:r w:rsidR="00D66450">
        <w:rPr>
          <w:b w:val="0"/>
          <w:caps w:val="0"/>
          <w:u w:val="none"/>
        </w:rPr>
        <w:t>time development pari a 20 mesi e un numero di persone pari a 12.</w:t>
      </w:r>
      <w:r w:rsidR="00D66450">
        <w:rPr>
          <w:b w:val="0"/>
          <w:caps w:val="0"/>
          <w:u w:val="none"/>
        </w:rPr>
        <w:br/>
      </w:r>
      <w:r w:rsidR="006F50A5">
        <w:rPr>
          <w:b w:val="0"/>
          <w:caps w:val="0"/>
          <w:u w:val="none"/>
        </w:rPr>
        <w:t>C</w:t>
      </w:r>
      <w:r w:rsidR="00435257">
        <w:rPr>
          <w:b w:val="0"/>
          <w:caps w:val="0"/>
          <w:u w:val="none"/>
        </w:rPr>
        <w:t>osto mensile pari a 15.224</w:t>
      </w:r>
      <w:r w:rsidR="00D530E0">
        <w:rPr>
          <w:b w:val="0"/>
          <w:caps w:val="0"/>
          <w:u w:val="none"/>
        </w:rPr>
        <w:t>,89</w:t>
      </w:r>
      <w:r w:rsidR="00435257">
        <w:rPr>
          <w:b w:val="0"/>
          <w:caps w:val="0"/>
          <w:u w:val="none"/>
        </w:rPr>
        <w:t xml:space="preserve"> euro</w:t>
      </w:r>
      <w:r w:rsidR="00D530E0">
        <w:rPr>
          <w:b w:val="0"/>
          <w:caps w:val="0"/>
          <w:u w:val="none"/>
        </w:rPr>
        <w:t xml:space="preserve"> per un prezzo orario stabilito a 8 </w:t>
      </w:r>
      <w:r w:rsidR="003953D4">
        <w:rPr>
          <w:b w:val="0"/>
          <w:caps w:val="0"/>
          <w:u w:val="none"/>
        </w:rPr>
        <w:t>euro/ora con 152 ore/mese.</w:t>
      </w:r>
      <w:r w:rsidR="003953D4">
        <w:rPr>
          <w:b w:val="0"/>
          <w:caps w:val="0"/>
          <w:u w:val="none"/>
        </w:rPr>
        <w:br/>
        <w:t>Tale cifra è stato il risultato della moltiplicazione del numero di persone trovato (12) per il costo orario e per le persone all’ora (8 euro), per il numero di ore nel mese (152).</w:t>
      </w:r>
      <w:bookmarkEnd w:id="7"/>
      <w:bookmarkEnd w:id="8"/>
    </w:p>
    <w:p w:rsidR="000C36F8" w:rsidRDefault="003953D4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9" w:name="_Toc426835835"/>
      <w:bookmarkStart w:id="10" w:name="_Toc427305445"/>
      <w:r>
        <w:rPr>
          <w:b w:val="0"/>
          <w:caps w:val="0"/>
          <w:u w:val="none"/>
        </w:rPr>
        <w:t>Abbiamo calcolato anche un costo per persona pari a 25.090,40 euro.</w:t>
      </w:r>
      <w:r w:rsidR="00866C87">
        <w:rPr>
          <w:b w:val="0"/>
          <w:caps w:val="0"/>
          <w:u w:val="none"/>
        </w:rPr>
        <w:br/>
        <w:t>Tale risultato proviene invece dalla moltiplicazione del numero di mesi trovato (20) per il costo orario e per le persone all’ora (8 euro), per il numero di ore nel mese (152).</w:t>
      </w:r>
      <w:bookmarkEnd w:id="9"/>
      <w:bookmarkEnd w:id="10"/>
    </w:p>
    <w:p w:rsidR="00D32CFC" w:rsidRDefault="00B7516D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1" w:name="_Toc426835836"/>
      <w:bookmarkStart w:id="12" w:name="_Toc427305446"/>
      <w:r>
        <w:rPr>
          <w:b w:val="0"/>
          <w:caps w:val="0"/>
          <w:u w:val="none"/>
        </w:rPr>
        <w:t>Abbiamo scelto di emettere un secondo preventivo con</w:t>
      </w:r>
      <w:r w:rsidR="00102A41">
        <w:rPr>
          <w:b w:val="0"/>
          <w:caps w:val="0"/>
          <w:u w:val="none"/>
        </w:rPr>
        <w:t xml:space="preserve"> i seguenti dati:</w:t>
      </w:r>
      <w:bookmarkEnd w:id="11"/>
      <w:bookmarkEnd w:id="12"/>
      <w:r>
        <w:rPr>
          <w:b w:val="0"/>
          <w:caps w:val="0"/>
          <w:u w:val="none"/>
        </w:rPr>
        <w:t xml:space="preserve"> </w:t>
      </w:r>
      <w:r w:rsidR="00D32CFC">
        <w:rPr>
          <w:b w:val="0"/>
          <w:caps w:val="0"/>
          <w:u w:val="none"/>
        </w:rPr>
        <w:br/>
      </w:r>
    </w:p>
    <w:p w:rsidR="00D32CFC" w:rsidRPr="00D32CFC" w:rsidRDefault="00102A41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Prezzo fumetteria</w:t>
      </w:r>
      <w:r w:rsidR="00B7516D" w:rsidRPr="00D32CFC">
        <w:rPr>
          <w:rStyle w:val="ElencoChar"/>
          <w:i w:val="0"/>
        </w:rPr>
        <w:t xml:space="preserve"> pari a 15.224,89 </w:t>
      </w:r>
      <w:r w:rsidRPr="00D32CFC">
        <w:rPr>
          <w:rStyle w:val="ElencoChar"/>
          <w:i w:val="0"/>
        </w:rPr>
        <w:t>euro;</w:t>
      </w:r>
      <w:r w:rsidR="00B7516D" w:rsidRPr="00D32CFC">
        <w:rPr>
          <w:rStyle w:val="ElencoChar"/>
          <w:i w:val="0"/>
        </w:rPr>
        <w:t xml:space="preserve"> </w:t>
      </w:r>
    </w:p>
    <w:p w:rsidR="00D32CFC" w:rsidRPr="00D32CFC" w:rsidRDefault="00102A41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Verifica del funzionamento del Sistema SW pari a a 300 euro;</w:t>
      </w:r>
    </w:p>
    <w:p w:rsidR="00D32CFC" w:rsidRPr="00D32CFC" w:rsidRDefault="00102A41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Formazione del personale pari a 200 euro;</w:t>
      </w:r>
    </w:p>
    <w:p w:rsidR="00D32CFC" w:rsidRPr="00D32CFC" w:rsidRDefault="000D76B3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>
        <w:rPr>
          <w:rStyle w:val="ElencoChar"/>
          <w:i w:val="0"/>
        </w:rPr>
        <w:t>IVA al 22% pari a 3.4</w:t>
      </w:r>
      <w:r w:rsidR="00102A41" w:rsidRPr="00D32CFC">
        <w:rPr>
          <w:rStyle w:val="ElencoChar"/>
          <w:i w:val="0"/>
        </w:rPr>
        <w:t>59,48 euro;</w:t>
      </w:r>
    </w:p>
    <w:p w:rsidR="00D32CFC" w:rsidRDefault="00102A41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per un totale di 19.184,37 euro</w:t>
      </w:r>
      <w:r w:rsidR="000D76B3">
        <w:rPr>
          <w:rStyle w:val="ElencoChar"/>
          <w:i w:val="0"/>
        </w:rPr>
        <w:t>;</w:t>
      </w:r>
    </w:p>
    <w:p w:rsidR="000D76B3" w:rsidRPr="00D32CFC" w:rsidRDefault="000D76B3" w:rsidP="00292DC2">
      <w:pPr>
        <w:pStyle w:val="Elenco"/>
        <w:numPr>
          <w:ilvl w:val="0"/>
          <w:numId w:val="6"/>
        </w:numPr>
      </w:pPr>
      <w:r w:rsidRPr="00D052F2">
        <w:rPr>
          <w:rStyle w:val="ElencoChar"/>
          <w:i w:val="0"/>
        </w:rPr>
        <w:t>un costo per un contratto di manutenzione pari al 1</w:t>
      </w:r>
      <w:r>
        <w:rPr>
          <w:rStyle w:val="ElencoChar"/>
          <w:i w:val="0"/>
        </w:rPr>
        <w:t>0</w:t>
      </w:r>
      <w:r w:rsidRPr="00D052F2">
        <w:rPr>
          <w:rStyle w:val="ElencoChar"/>
          <w:i w:val="0"/>
        </w:rPr>
        <w:t xml:space="preserve">% del valore di acquisto, quindi pari a </w:t>
      </w:r>
      <w:r>
        <w:rPr>
          <w:rStyle w:val="ElencoChar"/>
          <w:i w:val="0"/>
        </w:rPr>
        <w:t>1.918,43</w:t>
      </w:r>
      <w:r w:rsidRPr="00D052F2">
        <w:rPr>
          <w:rStyle w:val="ElencoChar"/>
          <w:i w:val="0"/>
        </w:rPr>
        <w:t xml:space="preserve"> euro annui</w:t>
      </w:r>
      <w:r w:rsidR="00425676">
        <w:rPr>
          <w:rStyle w:val="ElencoChar"/>
          <w:i w:val="0"/>
        </w:rPr>
        <w:t>.</w:t>
      </w:r>
    </w:p>
    <w:p w:rsidR="00D32CFC" w:rsidRDefault="00102A41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3" w:name="_Toc426835837"/>
      <w:bookmarkStart w:id="14" w:name="_Toc427305447"/>
      <w:r>
        <w:rPr>
          <w:b w:val="0"/>
          <w:caps w:val="0"/>
          <w:u w:val="none"/>
        </w:rPr>
        <w:t xml:space="preserve">La scelta di questo importo è stata fatta solo perché vicino alla media degli altri progetti; da considerarsi </w:t>
      </w:r>
      <w:r w:rsidR="0097127B">
        <w:rPr>
          <w:b w:val="0"/>
          <w:caps w:val="0"/>
          <w:u w:val="none"/>
        </w:rPr>
        <w:t>quindi risultato di un solo ragionamento per analogia, avendo p</w:t>
      </w:r>
      <w:r w:rsidR="003450A6">
        <w:rPr>
          <w:b w:val="0"/>
          <w:caps w:val="0"/>
          <w:u w:val="none"/>
        </w:rPr>
        <w:t>erò coscienza del fatto che esso</w:t>
      </w:r>
      <w:r w:rsidR="0097127B">
        <w:rPr>
          <w:b w:val="0"/>
          <w:caps w:val="0"/>
          <w:u w:val="none"/>
        </w:rPr>
        <w:t xml:space="preserve"> corrisponde</w:t>
      </w:r>
      <w:r w:rsidR="003450A6">
        <w:rPr>
          <w:b w:val="0"/>
          <w:caps w:val="0"/>
          <w:u w:val="none"/>
        </w:rPr>
        <w:t xml:space="preserve"> ad un solo mese di lavoro.</w:t>
      </w:r>
      <w:bookmarkEnd w:id="13"/>
      <w:bookmarkEnd w:id="14"/>
      <w:r w:rsidR="003450A6">
        <w:rPr>
          <w:b w:val="0"/>
          <w:caps w:val="0"/>
          <w:u w:val="none"/>
        </w:rPr>
        <w:t xml:space="preserve"> </w:t>
      </w:r>
      <w:r w:rsidR="0097127B">
        <w:rPr>
          <w:b w:val="0"/>
          <w:caps w:val="0"/>
          <w:u w:val="none"/>
        </w:rPr>
        <w:t xml:space="preserve"> </w:t>
      </w:r>
      <w:r w:rsidRPr="00102A41">
        <w:rPr>
          <w:b w:val="0"/>
          <w:caps w:val="0"/>
          <w:u w:val="none"/>
        </w:rPr>
        <w:br/>
      </w:r>
    </w:p>
    <w:p w:rsidR="0097127B" w:rsidRPr="00D052F2" w:rsidRDefault="0097127B" w:rsidP="00567635">
      <w:pPr>
        <w:pStyle w:val="Livello11"/>
      </w:pPr>
      <w:r w:rsidRPr="00D052F2">
        <w:t>Errori</w:t>
      </w:r>
    </w:p>
    <w:p w:rsidR="001A62F1" w:rsidRDefault="0097127B" w:rsidP="0097127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5" w:name="_Toc426835838"/>
      <w:bookmarkStart w:id="16" w:name="_Toc427305448"/>
      <w:r>
        <w:rPr>
          <w:b w:val="0"/>
          <w:caps w:val="0"/>
          <w:u w:val="none"/>
        </w:rPr>
        <w:t>Anche nel calcolo del Cocomo è stato commesso un grossolano errore: nello specifico</w:t>
      </w:r>
      <w:r w:rsidR="003450A6">
        <w:rPr>
          <w:b w:val="0"/>
          <w:caps w:val="0"/>
          <w:u w:val="none"/>
        </w:rPr>
        <w:t xml:space="preserve"> non è stata applicata la corretta formula</w:t>
      </w:r>
      <w:r w:rsidR="00E04A83">
        <w:rPr>
          <w:b w:val="0"/>
          <w:caps w:val="0"/>
          <w:u w:val="none"/>
        </w:rPr>
        <w:t xml:space="preserve"> </w:t>
      </w:r>
      <w:r w:rsidR="003450A6">
        <w:rPr>
          <w:b w:val="0"/>
          <w:caps w:val="0"/>
          <w:u w:val="none"/>
        </w:rPr>
        <w:t>per il calcolo dell</w:t>
      </w:r>
      <w:r w:rsidR="00377070">
        <w:rPr>
          <w:b w:val="0"/>
          <w:caps w:val="0"/>
          <w:u w:val="none"/>
        </w:rPr>
        <w:t>a dimensione del SW misurato in</w:t>
      </w:r>
      <w:r w:rsidR="003450A6">
        <w:rPr>
          <w:b w:val="0"/>
          <w:caps w:val="0"/>
          <w:u w:val="none"/>
        </w:rPr>
        <w:t xml:space="preserve"> </w:t>
      </w:r>
      <w:r w:rsidR="00377070">
        <w:rPr>
          <w:b w:val="0"/>
          <w:caps w:val="0"/>
          <w:u w:val="none"/>
        </w:rPr>
        <w:t>KDSI</w:t>
      </w:r>
      <w:r w:rsidR="001A62F1">
        <w:rPr>
          <w:b w:val="0"/>
          <w:caps w:val="0"/>
          <w:u w:val="none"/>
        </w:rPr>
        <w:t>.</w:t>
      </w:r>
      <w:r w:rsidR="00E04A83">
        <w:rPr>
          <w:b w:val="0"/>
          <w:caps w:val="0"/>
          <w:u w:val="none"/>
        </w:rPr>
        <w:t xml:space="preserve"> Nella quale si usa il parametro di Caper Jones per la conversione degli FP in linee di codice.</w:t>
      </w:r>
      <w:r w:rsidR="003450A6">
        <w:rPr>
          <w:b w:val="0"/>
          <w:caps w:val="0"/>
          <w:u w:val="none"/>
        </w:rPr>
        <w:br/>
      </w:r>
      <w:r w:rsidR="001A62F1">
        <w:rPr>
          <w:b w:val="0"/>
          <w:caps w:val="0"/>
          <w:u w:val="none"/>
        </w:rPr>
        <w:t>L</w:t>
      </w:r>
      <w:r w:rsidR="003450A6">
        <w:rPr>
          <w:b w:val="0"/>
          <w:caps w:val="0"/>
          <w:u w:val="none"/>
        </w:rPr>
        <w:t>a formula in que</w:t>
      </w:r>
      <w:r w:rsidR="001A62F1">
        <w:rPr>
          <w:b w:val="0"/>
          <w:caps w:val="0"/>
          <w:u w:val="none"/>
        </w:rPr>
        <w:t>stione è la seguente:</w:t>
      </w:r>
      <w:bookmarkEnd w:id="15"/>
      <w:bookmarkEnd w:id="16"/>
    </w:p>
    <w:p w:rsidR="0097127B" w:rsidRDefault="00DB5AA9" w:rsidP="001A62F1">
      <w:pPr>
        <w:pStyle w:val="Livello1"/>
        <w:numPr>
          <w:ilvl w:val="0"/>
          <w:numId w:val="0"/>
        </w:numPr>
        <w:spacing w:before="120" w:after="0"/>
        <w:jc w:val="center"/>
        <w:rPr>
          <w:b w:val="0"/>
          <w:caps w:val="0"/>
          <w:u w:val="none"/>
        </w:rPr>
      </w:pPr>
      <w:bookmarkStart w:id="17" w:name="_Toc426835839"/>
      <w:bookmarkStart w:id="18" w:name="_Toc427305449"/>
      <w:r>
        <w:rPr>
          <w:u w:val="none"/>
        </w:rPr>
        <w:t>KDSI</w:t>
      </w:r>
      <w:r w:rsidR="001A62F1" w:rsidRPr="001A62F1">
        <w:rPr>
          <w:u w:val="none"/>
        </w:rPr>
        <w:t xml:space="preserve"> = (FP * LangIndex) / 1000</w:t>
      </w:r>
      <w:bookmarkEnd w:id="17"/>
      <w:bookmarkEnd w:id="18"/>
    </w:p>
    <w:p w:rsidR="00DB5AA9" w:rsidRDefault="00DB5AA9" w:rsidP="0097127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9" w:name="_Toc426835840"/>
      <w:bookmarkStart w:id="20" w:name="_Toc427305450"/>
      <w:r>
        <w:rPr>
          <w:b w:val="0"/>
          <w:caps w:val="0"/>
          <w:u w:val="none"/>
        </w:rPr>
        <w:t>Invece vi è stata erroneamente applicata questa:</w:t>
      </w:r>
      <w:bookmarkEnd w:id="19"/>
      <w:bookmarkEnd w:id="20"/>
    </w:p>
    <w:p w:rsidR="00B7516D" w:rsidRDefault="00DB5AA9" w:rsidP="00DB5AA9">
      <w:pPr>
        <w:pStyle w:val="Livello1"/>
        <w:numPr>
          <w:ilvl w:val="0"/>
          <w:numId w:val="0"/>
        </w:numPr>
        <w:spacing w:before="120" w:after="0"/>
        <w:jc w:val="center"/>
        <w:rPr>
          <w:b w:val="0"/>
          <w:caps w:val="0"/>
          <w:u w:val="none"/>
        </w:rPr>
      </w:pPr>
      <w:bookmarkStart w:id="21" w:name="_Toc426835841"/>
      <w:bookmarkStart w:id="22" w:name="_Toc427305451"/>
      <w:r>
        <w:rPr>
          <w:b w:val="0"/>
          <w:u w:val="none"/>
        </w:rPr>
        <w:t>KDSI = (FP * LangIndex) / 1</w:t>
      </w:r>
      <w:r w:rsidRPr="00DB5AA9">
        <w:rPr>
          <w:b w:val="0"/>
          <w:u w:val="none"/>
        </w:rPr>
        <w:t>00</w:t>
      </w:r>
      <w:bookmarkEnd w:id="21"/>
      <w:bookmarkEnd w:id="22"/>
    </w:p>
    <w:p w:rsidR="00836DE9" w:rsidRPr="00DB5AA9" w:rsidRDefault="00836DE9" w:rsidP="00836DE9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23" w:name="_Toc426835842"/>
      <w:bookmarkStart w:id="24" w:name="_Toc427305452"/>
      <w:r>
        <w:rPr>
          <w:b w:val="0"/>
          <w:caps w:val="0"/>
          <w:u w:val="none"/>
        </w:rPr>
        <w:t>In numero di KDSI conseguente è pari a 99,45 che è estremamente troppo elevato.</w:t>
      </w:r>
      <w:bookmarkEnd w:id="23"/>
      <w:bookmarkEnd w:id="24"/>
    </w:p>
    <w:p w:rsidR="00B7516D" w:rsidRDefault="00DB5AA9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25" w:name="_Toc426835843"/>
      <w:bookmarkStart w:id="26" w:name="_Toc427305453"/>
      <w:r>
        <w:rPr>
          <w:b w:val="0"/>
          <w:caps w:val="0"/>
          <w:u w:val="none"/>
        </w:rPr>
        <w:t>Ovviamente questo ha inciso su tutto il risultato e spercialmente nel calcolo dell’effort poiché la dimensione in KDSI è dato di partenza per il calcolo dell’Effort</w:t>
      </w:r>
      <w:r w:rsidR="00F83F75">
        <w:rPr>
          <w:b w:val="0"/>
          <w:caps w:val="0"/>
          <w:u w:val="none"/>
        </w:rPr>
        <w:t>.</w:t>
      </w:r>
      <w:r w:rsidR="00836DE9">
        <w:rPr>
          <w:b w:val="0"/>
          <w:caps w:val="0"/>
          <w:u w:val="none"/>
        </w:rPr>
        <w:t xml:space="preserve"> Questo è all’origine del</w:t>
      </w:r>
      <w:r w:rsidR="00042400">
        <w:rPr>
          <w:b w:val="0"/>
          <w:caps w:val="0"/>
          <w:u w:val="none"/>
        </w:rPr>
        <w:t xml:space="preserve"> dato esagerato di </w:t>
      </w:r>
      <w:r w:rsidR="00836DE9">
        <w:rPr>
          <w:b w:val="0"/>
          <w:caps w:val="0"/>
          <w:u w:val="none"/>
        </w:rPr>
        <w:t xml:space="preserve"> </w:t>
      </w:r>
      <w:r w:rsidR="00042400">
        <w:rPr>
          <w:b w:val="0"/>
          <w:caps w:val="0"/>
          <w:u w:val="none"/>
        </w:rPr>
        <w:t>258 persone/mese.</w:t>
      </w:r>
      <w:bookmarkEnd w:id="25"/>
      <w:bookmarkEnd w:id="26"/>
    </w:p>
    <w:p w:rsidR="00D32CFC" w:rsidRPr="000C36F8" w:rsidRDefault="000D76B3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27" w:name="_Toc426835844"/>
      <w:bookmarkStart w:id="28" w:name="_Toc427305454"/>
      <w:r>
        <w:rPr>
          <w:b w:val="0"/>
          <w:caps w:val="0"/>
          <w:u w:val="none"/>
        </w:rPr>
        <w:t xml:space="preserve">Inoltre nel calcolo del valore della manutenzione </w:t>
      </w:r>
      <w:r w:rsidR="00425676">
        <w:rPr>
          <w:b w:val="0"/>
          <w:caps w:val="0"/>
          <w:u w:val="none"/>
        </w:rPr>
        <w:t>si ha considerato l’importo comprensivo di iva è qusto è fondamentalmente sbagliato.</w:t>
      </w:r>
      <w:bookmarkEnd w:id="27"/>
      <w:bookmarkEnd w:id="28"/>
      <w:r w:rsidR="00425676">
        <w:rPr>
          <w:b w:val="0"/>
          <w:caps w:val="0"/>
          <w:u w:val="none"/>
        </w:rPr>
        <w:br/>
      </w:r>
    </w:p>
    <w:p w:rsidR="00F83F75" w:rsidRPr="00D052F2" w:rsidRDefault="00F83F75" w:rsidP="00567635">
      <w:pPr>
        <w:pStyle w:val="Livello11"/>
      </w:pPr>
      <w:r w:rsidRPr="00D052F2">
        <w:t>Correzioni</w:t>
      </w:r>
    </w:p>
    <w:p w:rsidR="00F83F75" w:rsidRDefault="00F83F75" w:rsidP="00F83F75">
      <w:pPr>
        <w:pStyle w:val="TestoNormaleBasatosuLivello11"/>
        <w:rPr>
          <w:lang w:bidi="en-US"/>
        </w:rPr>
      </w:pPr>
      <w:r>
        <w:rPr>
          <w:lang w:bidi="en-US"/>
        </w:rPr>
        <w:t xml:space="preserve">Nel calcolo </w:t>
      </w:r>
      <w:r w:rsidRPr="00714467">
        <w:rPr>
          <w:lang w:bidi="en-US"/>
        </w:rPr>
        <w:t>successivo</w:t>
      </w:r>
      <w:r>
        <w:rPr>
          <w:lang w:bidi="en-US"/>
        </w:rPr>
        <w:t xml:space="preserve"> (</w:t>
      </w:r>
      <w:r w:rsidR="00042400">
        <w:rPr>
          <w:lang w:bidi="en-US"/>
        </w:rPr>
        <w:t>Calcolo COCOMO</w:t>
      </w:r>
      <w:r>
        <w:rPr>
          <w:lang w:bidi="en-US"/>
        </w:rPr>
        <w:t xml:space="preserve"> 3.</w:t>
      </w:r>
      <w:r w:rsidR="00042400">
        <w:rPr>
          <w:lang w:bidi="en-US"/>
        </w:rPr>
        <w:t>0</w:t>
      </w:r>
      <w:r>
        <w:rPr>
          <w:lang w:bidi="en-US"/>
        </w:rPr>
        <w:t xml:space="preserve">) </w:t>
      </w:r>
      <w:r w:rsidR="00042400">
        <w:rPr>
          <w:lang w:bidi="en-US"/>
        </w:rPr>
        <w:t>Abbiamo rifatto tutto daccapo per capire quale fosse l’errore. Una volta corretto</w:t>
      </w:r>
      <w:r w:rsidR="007F2295">
        <w:rPr>
          <w:lang w:bidi="en-US"/>
        </w:rPr>
        <w:t>, i nuovi valori sono i seguenti</w:t>
      </w:r>
      <w:r w:rsidR="00406702">
        <w:rPr>
          <w:lang w:bidi="en-US"/>
        </w:rPr>
        <w:t>.</w:t>
      </w:r>
    </w:p>
    <w:p w:rsidR="00E27633" w:rsidRDefault="00E27633" w:rsidP="00F83F75">
      <w:pPr>
        <w:pStyle w:val="TestoNormaleBasatosuLivello11"/>
        <w:rPr>
          <w:rStyle w:val="ElencoChar"/>
          <w:i w:val="0"/>
        </w:rPr>
      </w:pPr>
    </w:p>
    <w:p w:rsidR="00B04A1A" w:rsidRDefault="00F83F75" w:rsidP="00292DC2">
      <w:pPr>
        <w:pStyle w:val="Elenco"/>
        <w:numPr>
          <w:ilvl w:val="0"/>
          <w:numId w:val="7"/>
        </w:numPr>
        <w:rPr>
          <w:rStyle w:val="ElencoChar"/>
          <w:i w:val="0"/>
        </w:rPr>
      </w:pPr>
      <w:r w:rsidRPr="00E27633">
        <w:rPr>
          <w:rStyle w:val="ElencoChar"/>
          <w:i w:val="0"/>
        </w:rPr>
        <w:t xml:space="preserve">Il nuovo totale è pari a </w:t>
      </w:r>
      <w:r w:rsidR="007F2295" w:rsidRPr="00E27633">
        <w:rPr>
          <w:rStyle w:val="ElencoChar"/>
          <w:i w:val="0"/>
        </w:rPr>
        <w:t>24</w:t>
      </w:r>
      <w:r w:rsidRPr="00E27633">
        <w:rPr>
          <w:rStyle w:val="ElencoChar"/>
          <w:i w:val="0"/>
        </w:rPr>
        <w:t>.</w:t>
      </w:r>
      <w:r w:rsidR="007F2295" w:rsidRPr="00E27633">
        <w:rPr>
          <w:rStyle w:val="ElencoChar"/>
          <w:i w:val="0"/>
        </w:rPr>
        <w:t>038,77</w:t>
      </w:r>
      <w:r w:rsidRPr="00E27633">
        <w:rPr>
          <w:rStyle w:val="ElencoChar"/>
          <w:i w:val="0"/>
        </w:rPr>
        <w:t xml:space="preserve"> euro (Iva esclusa);  </w:t>
      </w:r>
    </w:p>
    <w:p w:rsidR="00B04A1A" w:rsidRDefault="007F2295" w:rsidP="00292DC2">
      <w:pPr>
        <w:pStyle w:val="Elenco"/>
        <w:numPr>
          <w:ilvl w:val="0"/>
          <w:numId w:val="7"/>
        </w:numPr>
        <w:rPr>
          <w:rStyle w:val="ElencoChar"/>
          <w:i w:val="0"/>
        </w:rPr>
      </w:pPr>
      <w:r w:rsidRPr="00E27633">
        <w:rPr>
          <w:rStyle w:val="ElencoChar"/>
          <w:i w:val="0"/>
        </w:rPr>
        <w:t>con un effort pari a 10,54 persone/mese;</w:t>
      </w:r>
    </w:p>
    <w:p w:rsidR="00B04A1A" w:rsidRDefault="00147AD1" w:rsidP="00292DC2">
      <w:pPr>
        <w:pStyle w:val="Elenco"/>
        <w:numPr>
          <w:ilvl w:val="0"/>
          <w:numId w:val="7"/>
        </w:numPr>
        <w:rPr>
          <w:rStyle w:val="ElencoChar"/>
          <w:i w:val="0"/>
        </w:rPr>
      </w:pPr>
      <w:r w:rsidRPr="00E27633">
        <w:rPr>
          <w:rStyle w:val="ElencoChar"/>
          <w:i w:val="0"/>
        </w:rPr>
        <w:t>con un tempo di sviluppo pari a 6,11 mesi</w:t>
      </w:r>
      <w:r w:rsidR="00953F99" w:rsidRPr="00E27633">
        <w:rPr>
          <w:rStyle w:val="ElencoChar"/>
          <w:i w:val="0"/>
        </w:rPr>
        <w:t>;</w:t>
      </w:r>
    </w:p>
    <w:p w:rsidR="00E27633" w:rsidRDefault="007F2295" w:rsidP="00292DC2">
      <w:pPr>
        <w:pStyle w:val="Elenco"/>
        <w:numPr>
          <w:ilvl w:val="0"/>
          <w:numId w:val="7"/>
        </w:numPr>
        <w:rPr>
          <w:rStyle w:val="ElencoChar"/>
          <w:i w:val="0"/>
        </w:rPr>
      </w:pPr>
      <w:r w:rsidRPr="00E27633">
        <w:rPr>
          <w:rStyle w:val="ElencoChar"/>
          <w:i w:val="0"/>
        </w:rPr>
        <w:t>con 1,72 persone</w:t>
      </w:r>
      <w:r w:rsidR="00953F99" w:rsidRPr="00E27633">
        <w:rPr>
          <w:rStyle w:val="ElencoChar"/>
          <w:i w:val="0"/>
        </w:rPr>
        <w:t>;</w:t>
      </w:r>
    </w:p>
    <w:p w:rsidR="00147AD1" w:rsidRDefault="00300C36" w:rsidP="00F83F75">
      <w:pPr>
        <w:pStyle w:val="TestoNormaleBasatosuLivello11"/>
        <w:rPr>
          <w:lang w:bidi="en-US"/>
        </w:rPr>
      </w:pPr>
      <w:r w:rsidRPr="00E27633">
        <w:rPr>
          <w:rStyle w:val="ElencoChar"/>
          <w:i w:val="0"/>
        </w:rPr>
        <w:br/>
      </w:r>
      <w:r>
        <w:rPr>
          <w:lang w:bidi="en-US"/>
        </w:rPr>
        <w:t>per arrivare a ciò si è moltiplicato il numero di mesi, per il numero di persone, per un prezzo di 15 euro/ora e 152 ore/mese.</w:t>
      </w:r>
      <w:r>
        <w:rPr>
          <w:lang w:bidi="en-US"/>
        </w:rPr>
        <w:br/>
      </w:r>
      <w:r>
        <w:rPr>
          <w:lang w:bidi="en-US"/>
        </w:rPr>
        <w:br/>
      </w:r>
      <w:r w:rsidR="00147AD1">
        <w:rPr>
          <w:lang w:bidi="en-US"/>
        </w:rPr>
        <w:t xml:space="preserve">Contestualmente </w:t>
      </w:r>
      <w:r w:rsidR="00404F8A">
        <w:rPr>
          <w:lang w:bidi="en-US"/>
        </w:rPr>
        <w:t>sono stati rivisti anch</w:t>
      </w:r>
      <w:r w:rsidR="00700328">
        <w:rPr>
          <w:lang w:bidi="en-US"/>
        </w:rPr>
        <w:t xml:space="preserve">e i </w:t>
      </w:r>
      <w:r w:rsidR="00404F8A">
        <w:rPr>
          <w:lang w:bidi="en-US"/>
        </w:rPr>
        <w:t xml:space="preserve">parametri </w:t>
      </w:r>
      <w:r w:rsidR="00700328">
        <w:rPr>
          <w:lang w:bidi="en-US"/>
        </w:rPr>
        <w:t>per la determinazione del fattore M</w:t>
      </w:r>
      <w:r w:rsidR="00406702">
        <w:rPr>
          <w:lang w:bidi="en-US"/>
        </w:rPr>
        <w:t>.</w:t>
      </w:r>
    </w:p>
    <w:p w:rsidR="00363B58" w:rsidRDefault="00425676" w:rsidP="00F83F75">
      <w:pPr>
        <w:pStyle w:val="TestoNormaleBasatosuLivello11"/>
        <w:rPr>
          <w:lang w:bidi="en-US"/>
        </w:rPr>
      </w:pPr>
      <w:r>
        <w:rPr>
          <w:lang w:bidi="en-US"/>
        </w:rPr>
        <w:t>Il valore del contratto di manutenzione è stato ricalcolato sul valore al netto di iva e al netto del costo di verifica del funzionamento e del costo di formazione del personale.</w:t>
      </w:r>
      <w:r w:rsidR="00300C36">
        <w:rPr>
          <w:lang w:bidi="en-US"/>
        </w:rPr>
        <w:br/>
      </w:r>
      <w:r w:rsidR="007F2295">
        <w:rPr>
          <w:lang w:bidi="en-US"/>
        </w:rPr>
        <w:t xml:space="preserve"> </w:t>
      </w:r>
    </w:p>
    <w:p w:rsidR="00042400" w:rsidRPr="00D052F2" w:rsidRDefault="00042400" w:rsidP="00567635">
      <w:pPr>
        <w:pStyle w:val="Livello11"/>
      </w:pPr>
      <w:r w:rsidRPr="00D052F2">
        <w:t>Considerazioni</w:t>
      </w:r>
    </w:p>
    <w:p w:rsidR="005768C0" w:rsidRDefault="00D228C8" w:rsidP="00042400">
      <w:pPr>
        <w:pStyle w:val="TestoNormaleBasatosuLivello11"/>
        <w:rPr>
          <w:lang w:bidi="en-US"/>
        </w:rPr>
      </w:pPr>
      <w:r>
        <w:rPr>
          <w:lang w:bidi="en-US"/>
        </w:rPr>
        <w:t xml:space="preserve">Oltre </w:t>
      </w:r>
      <w:r w:rsidR="00300C36">
        <w:rPr>
          <w:lang w:bidi="en-US"/>
        </w:rPr>
        <w:t>al valore anzidetto, abbiamo fatto lo stesso calcolo considerando 20 euro/ora</w:t>
      </w:r>
      <w:r w:rsidR="008A3461">
        <w:rPr>
          <w:lang w:bidi="en-US"/>
        </w:rPr>
        <w:t>, il che ha portato alla cifra di 32.051,70 euro.</w:t>
      </w:r>
      <w:r w:rsidR="005768C0">
        <w:rPr>
          <w:lang w:bidi="en-US"/>
        </w:rPr>
        <w:br/>
        <w:t>Si è però scelto di attestarci sulla cifra più bassa.</w:t>
      </w:r>
    </w:p>
    <w:p w:rsidR="003659CC" w:rsidRDefault="003659CC" w:rsidP="00567635">
      <w:pPr>
        <w:pStyle w:val="Livello1"/>
        <w:rPr>
          <w:lang w:bidi="en-US"/>
        </w:rPr>
      </w:pPr>
      <w:bookmarkStart w:id="29" w:name="_Toc427305455"/>
      <w:r>
        <w:rPr>
          <w:lang w:bidi="en-US"/>
        </w:rPr>
        <w:t>Terzo preventivo</w:t>
      </w:r>
      <w:bookmarkEnd w:id="29"/>
      <w:r>
        <w:rPr>
          <w:lang w:bidi="en-US"/>
        </w:rPr>
        <w:br/>
      </w:r>
    </w:p>
    <w:p w:rsidR="003659CC" w:rsidRDefault="003659CC" w:rsidP="00567635">
      <w:pPr>
        <w:pStyle w:val="Livello11"/>
        <w:rPr>
          <w:lang w:bidi="en-US"/>
        </w:rPr>
      </w:pPr>
      <w:r>
        <w:rPr>
          <w:lang w:bidi="en-US"/>
        </w:rPr>
        <w:t>Ragionamento</w:t>
      </w:r>
    </w:p>
    <w:p w:rsidR="006F3FFA" w:rsidRDefault="00AC6134" w:rsidP="003659CC">
      <w:pPr>
        <w:pStyle w:val="TestoNormaleBasatosuLivello11"/>
      </w:pPr>
      <w:r>
        <w:t>Il terzo, e speriamo ultimo preventivo che proponiamo è caratterizzato da qu</w:t>
      </w:r>
      <w:r w:rsidR="002B2499">
        <w:t>e</w:t>
      </w:r>
      <w:r>
        <w:t>sti valori:</w:t>
      </w:r>
      <w:r>
        <w:br/>
      </w:r>
    </w:p>
    <w:p w:rsidR="006F3FFA" w:rsidRPr="00D32CFC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 xml:space="preserve">Prezzo fumetteria pari a </w:t>
      </w:r>
      <w:r w:rsidR="00813150">
        <w:rPr>
          <w:lang w:bidi="en-US"/>
        </w:rPr>
        <w:t xml:space="preserve">24.038,77 </w:t>
      </w:r>
      <w:r w:rsidRPr="00D32CFC">
        <w:rPr>
          <w:rStyle w:val="ElencoChar"/>
          <w:i w:val="0"/>
        </w:rPr>
        <w:t xml:space="preserve">euro; </w:t>
      </w:r>
    </w:p>
    <w:p w:rsidR="006F3FFA" w:rsidRPr="00D32CFC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Verifica del funzionamento del Sistema SW pari a a 300 euro;</w:t>
      </w:r>
    </w:p>
    <w:p w:rsidR="006F3FFA" w:rsidRPr="00D32CFC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Formazione del personale pari a 200 euro;</w:t>
      </w:r>
    </w:p>
    <w:p w:rsidR="006F3FFA" w:rsidRPr="00D32CFC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 xml:space="preserve">IVA al 22% pari a </w:t>
      </w:r>
      <w:r w:rsidR="00813150">
        <w:rPr>
          <w:lang w:bidi="en-US"/>
        </w:rPr>
        <w:t xml:space="preserve">5.288,53 </w:t>
      </w:r>
      <w:r w:rsidRPr="00D32CFC">
        <w:rPr>
          <w:rStyle w:val="ElencoChar"/>
          <w:i w:val="0"/>
        </w:rPr>
        <w:t>euro;</w:t>
      </w:r>
    </w:p>
    <w:p w:rsidR="006F3FFA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 xml:space="preserve">per un totale di </w:t>
      </w:r>
      <w:r w:rsidR="00813150" w:rsidRPr="00813150">
        <w:rPr>
          <w:lang w:bidi="en-US"/>
        </w:rPr>
        <w:t>29.827,30</w:t>
      </w:r>
      <w:r w:rsidRPr="00D32CFC">
        <w:rPr>
          <w:rStyle w:val="ElencoChar"/>
          <w:i w:val="0"/>
        </w:rPr>
        <w:t xml:space="preserve"> euro</w:t>
      </w:r>
      <w:r w:rsidR="00425676">
        <w:rPr>
          <w:rStyle w:val="ElencoChar"/>
          <w:i w:val="0"/>
        </w:rPr>
        <w:t>;</w:t>
      </w:r>
    </w:p>
    <w:p w:rsidR="00425676" w:rsidRPr="00D32CFC" w:rsidRDefault="00425676" w:rsidP="00292DC2">
      <w:pPr>
        <w:pStyle w:val="Elenco"/>
        <w:numPr>
          <w:ilvl w:val="0"/>
          <w:numId w:val="10"/>
        </w:numPr>
      </w:pPr>
      <w:r w:rsidRPr="00D052F2">
        <w:rPr>
          <w:rStyle w:val="ElencoChar"/>
          <w:i w:val="0"/>
        </w:rPr>
        <w:t>un costo per un contratto di manutenzione pari al 1</w:t>
      </w:r>
      <w:r>
        <w:rPr>
          <w:rStyle w:val="ElencoChar"/>
          <w:i w:val="0"/>
        </w:rPr>
        <w:t>0</w:t>
      </w:r>
      <w:r w:rsidRPr="00D052F2">
        <w:rPr>
          <w:rStyle w:val="ElencoChar"/>
          <w:i w:val="0"/>
        </w:rPr>
        <w:t xml:space="preserve">% del valore di acquisto, quindi pari a </w:t>
      </w:r>
      <w:r>
        <w:rPr>
          <w:rStyle w:val="ElencoChar"/>
          <w:i w:val="0"/>
        </w:rPr>
        <w:t>2.403,87</w:t>
      </w:r>
      <w:r w:rsidRPr="00D052F2">
        <w:rPr>
          <w:rStyle w:val="ElencoChar"/>
          <w:i w:val="0"/>
        </w:rPr>
        <w:t xml:space="preserve"> euro annui</w:t>
      </w:r>
    </w:p>
    <w:p w:rsidR="002B2499" w:rsidRDefault="002B2499" w:rsidP="003659CC">
      <w:pPr>
        <w:pStyle w:val="TestoNormaleBasatosuLivello11"/>
      </w:pPr>
      <w:r>
        <w:t>Ci siamo basati sul Cocomo che abbiamo verificato più volte, corretto e rivisto. Alla fine corrisponde alla correzione del conteggio per il secondo preventivo, descritto nel paragrafo precedente.</w:t>
      </w:r>
      <w:r w:rsidR="001F2A99">
        <w:br/>
        <w:t>Il calcolo che mostra in dettaglio le operazioni effettuate è quello evidenziato in verde</w:t>
      </w:r>
      <w:r w:rsidR="00567635">
        <w:br/>
        <w:t>Abbiamo calcolato la dimensione del codice in KDSI equivalendole concettualmente alle KLOC o KDSLOC, acronimi che abbiamo trovato nelle fonti dall quali abbiamo ricavato la formula e i valori di conversione dei FP in KDSI, appunto.</w:t>
      </w:r>
    </w:p>
    <w:p w:rsidR="003659CC" w:rsidRDefault="003659CC" w:rsidP="00567635">
      <w:pPr>
        <w:pStyle w:val="Livello1"/>
        <w:rPr>
          <w:lang w:bidi="en-US"/>
        </w:rPr>
      </w:pPr>
      <w:r>
        <w:t xml:space="preserve"> </w:t>
      </w:r>
      <w:bookmarkStart w:id="30" w:name="_Toc427305456"/>
      <w:r>
        <w:rPr>
          <w:lang w:bidi="en-US"/>
        </w:rPr>
        <w:t>Conclusioni finali</w:t>
      </w:r>
      <w:bookmarkEnd w:id="0"/>
      <w:bookmarkEnd w:id="30"/>
    </w:p>
    <w:p w:rsidR="002B2499" w:rsidRDefault="002B2499" w:rsidP="00F36781">
      <w:pPr>
        <w:pStyle w:val="TestoNormaleBasatosuLivello11"/>
      </w:pPr>
      <w:r>
        <w:t>Alla fine, dopo aver corretto i calcoli per il Cocomo e aver fatto le consi</w:t>
      </w:r>
      <w:r w:rsidR="00567635">
        <w:t>derazioni nominate nei paragrafi precedenti</w:t>
      </w:r>
      <w:r>
        <w:t>, abbiamo deciso di affidarci interamente al modello.</w:t>
      </w:r>
      <w:r>
        <w:br/>
        <w:t>Pur non avendo lo stesso valore della media degli altri sistemi, confidiamo nel lavoro di controllo del conte</w:t>
      </w:r>
      <w:r w:rsidR="003C70D7">
        <w:t>ggio eseguito in questi giorni.</w:t>
      </w:r>
    </w:p>
    <w:sectPr w:rsidR="002B2499" w:rsidSect="000D0F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2B0" w:rsidRDefault="004B32B0" w:rsidP="00594668">
      <w:pPr>
        <w:spacing w:after="0" w:line="240" w:lineRule="auto"/>
      </w:pPr>
      <w:r>
        <w:separator/>
      </w:r>
    </w:p>
  </w:endnote>
  <w:endnote w:type="continuationSeparator" w:id="1">
    <w:p w:rsidR="004B32B0" w:rsidRDefault="004B32B0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A" w:rsidRDefault="000E6B8F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0E6B8F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0E6B8F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063B9A" w:rsidRPr="00A052E0" w:rsidRDefault="000E6B8F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9F3005" w:rsidRPr="009F3005">
        <w:rPr>
          <w:b/>
          <w:noProof/>
        </w:rPr>
        <w:t>6</w:t>
      </w:r>
    </w:fldSimple>
    <w:r w:rsidR="00063B9A">
      <w:rPr>
        <w:b/>
      </w:rPr>
      <w:t xml:space="preserve"> | </w:t>
    </w:r>
    <w:r w:rsidR="00063B9A">
      <w:rPr>
        <w:color w:val="7F7F7F"/>
        <w:spacing w:val="60"/>
      </w:rPr>
      <w:t xml:space="preserve">Page </w:t>
    </w:r>
    <w:r w:rsidR="00063B9A">
      <w:rPr>
        <w:color w:val="7F7F7F"/>
        <w:spacing w:val="60"/>
      </w:rPr>
      <w:tab/>
    </w:r>
    <w:r w:rsidR="00063B9A">
      <w:rPr>
        <w:color w:val="7F7F7F"/>
        <w:spacing w:val="60"/>
      </w:rPr>
      <w:tab/>
    </w:r>
    <w:r w:rsidR="00063B9A">
      <w:rPr>
        <w:color w:val="7F7F7F"/>
        <w:spacing w:val="60"/>
      </w:rPr>
      <w:tab/>
    </w:r>
    <w:r w:rsidR="00063B9A">
      <w:rPr>
        <w:color w:val="7F7F7F"/>
        <w:spacing w:val="60"/>
      </w:rPr>
      <w:tab/>
    </w:r>
    <w:r w:rsidR="00063B9A" w:rsidRPr="00E72768">
      <w:rPr>
        <w:sz w:val="20"/>
        <w:szCs w:val="20"/>
      </w:rPr>
      <w:t xml:space="preserve">PROGETTO: </w:t>
    </w:r>
    <w:r w:rsidR="00063B9A">
      <w:rPr>
        <w:b/>
        <w:sz w:val="20"/>
        <w:szCs w:val="20"/>
      </w:rPr>
      <w:t>FUMETTERIA PIGHIN</w:t>
    </w:r>
    <w:r w:rsidR="00063B9A">
      <w:rPr>
        <w:b/>
        <w:sz w:val="20"/>
        <w:szCs w:val="20"/>
      </w:rPr>
      <w:tab/>
    </w:r>
    <w:r w:rsidR="00063B9A">
      <w:rPr>
        <w:b/>
        <w:sz w:val="20"/>
        <w:szCs w:val="20"/>
      </w:rPr>
      <w:tab/>
    </w:r>
    <w:r w:rsidR="00063B9A">
      <w:rPr>
        <w:b/>
        <w:sz w:val="20"/>
        <w:szCs w:val="20"/>
      </w:rPr>
      <w:tab/>
      <w:t xml:space="preserve">  </w:t>
    </w:r>
    <w:r w:rsidR="00063B9A">
      <w:rPr>
        <w:b/>
        <w:bCs/>
        <w:color w:val="17365D"/>
        <w:sz w:val="20"/>
        <w:szCs w:val="20"/>
      </w:rPr>
      <w:t>Cronologia Preventivi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A" w:rsidRDefault="000E6B8F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2B0" w:rsidRDefault="004B32B0" w:rsidP="00594668">
      <w:pPr>
        <w:spacing w:after="0" w:line="240" w:lineRule="auto"/>
      </w:pPr>
      <w:r>
        <w:separator/>
      </w:r>
    </w:p>
  </w:footnote>
  <w:footnote w:type="continuationSeparator" w:id="1">
    <w:p w:rsidR="004B32B0" w:rsidRDefault="004B32B0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A" w:rsidRDefault="000E6B8F">
    <w:pPr>
      <w:pStyle w:val="Header"/>
      <w:pBdr>
        <w:bottom w:val="single" w:sz="4" w:space="1" w:color="D9D9D9"/>
      </w:pBdr>
      <w:rPr>
        <w:b/>
      </w:rPr>
    </w:pPr>
    <w:r w:rsidRPr="000E6B8F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9F3005" w:rsidRPr="009F3005">
        <w:rPr>
          <w:b/>
          <w:noProof/>
        </w:rPr>
        <w:t>6</w:t>
      </w:r>
    </w:fldSimple>
    <w:r w:rsidR="00063B9A">
      <w:rPr>
        <w:b/>
      </w:rPr>
      <w:t xml:space="preserve"> | </w:t>
    </w:r>
    <w:r w:rsidR="00063B9A">
      <w:rPr>
        <w:color w:val="7F7F7F"/>
        <w:spacing w:val="60"/>
      </w:rPr>
      <w:t>Page</w:t>
    </w:r>
    <w:r w:rsidR="00063B9A">
      <w:rPr>
        <w:color w:val="7F7F7F"/>
        <w:spacing w:val="60"/>
      </w:rPr>
      <w:tab/>
    </w:r>
    <w:r w:rsidR="00063B9A">
      <w:rPr>
        <w:color w:val="7F7F7F"/>
        <w:spacing w:val="60"/>
      </w:rPr>
      <w:tab/>
    </w:r>
    <w:r w:rsidR="00063B9A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A" w:rsidRDefault="000E6B8F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76802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728E"/>
    <w:rsid w:val="00020626"/>
    <w:rsid w:val="0003010C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5947"/>
    <w:rsid w:val="00063B9A"/>
    <w:rsid w:val="0006582F"/>
    <w:rsid w:val="00071D82"/>
    <w:rsid w:val="000736DB"/>
    <w:rsid w:val="000737B6"/>
    <w:rsid w:val="000738EF"/>
    <w:rsid w:val="000840D8"/>
    <w:rsid w:val="000A0111"/>
    <w:rsid w:val="000A4407"/>
    <w:rsid w:val="000A4717"/>
    <w:rsid w:val="000A5372"/>
    <w:rsid w:val="000B26B0"/>
    <w:rsid w:val="000B483F"/>
    <w:rsid w:val="000C1756"/>
    <w:rsid w:val="000C36F8"/>
    <w:rsid w:val="000C4943"/>
    <w:rsid w:val="000C5E73"/>
    <w:rsid w:val="000D0FA0"/>
    <w:rsid w:val="000D76B3"/>
    <w:rsid w:val="000E21A2"/>
    <w:rsid w:val="000E6B8F"/>
    <w:rsid w:val="000E7D05"/>
    <w:rsid w:val="000F0DB0"/>
    <w:rsid w:val="000F15CC"/>
    <w:rsid w:val="000F323E"/>
    <w:rsid w:val="00102A41"/>
    <w:rsid w:val="001073CA"/>
    <w:rsid w:val="00120E51"/>
    <w:rsid w:val="00123749"/>
    <w:rsid w:val="00127702"/>
    <w:rsid w:val="0013675B"/>
    <w:rsid w:val="00147AD1"/>
    <w:rsid w:val="0015164E"/>
    <w:rsid w:val="00156AE7"/>
    <w:rsid w:val="001620BD"/>
    <w:rsid w:val="00164328"/>
    <w:rsid w:val="0016776B"/>
    <w:rsid w:val="0017259D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F06BC"/>
    <w:rsid w:val="001F2A99"/>
    <w:rsid w:val="001F6ED6"/>
    <w:rsid w:val="00201277"/>
    <w:rsid w:val="0021427F"/>
    <w:rsid w:val="00240211"/>
    <w:rsid w:val="002443F3"/>
    <w:rsid w:val="002458E8"/>
    <w:rsid w:val="00251FF8"/>
    <w:rsid w:val="0025407E"/>
    <w:rsid w:val="00254751"/>
    <w:rsid w:val="00263E5D"/>
    <w:rsid w:val="002716E3"/>
    <w:rsid w:val="00275E69"/>
    <w:rsid w:val="00280B9E"/>
    <w:rsid w:val="00281BD0"/>
    <w:rsid w:val="00281CFC"/>
    <w:rsid w:val="00292DC2"/>
    <w:rsid w:val="002952AF"/>
    <w:rsid w:val="00296744"/>
    <w:rsid w:val="002B1808"/>
    <w:rsid w:val="002B2432"/>
    <w:rsid w:val="002B2499"/>
    <w:rsid w:val="002B61D8"/>
    <w:rsid w:val="002C395F"/>
    <w:rsid w:val="002D7553"/>
    <w:rsid w:val="002D75CD"/>
    <w:rsid w:val="002E0998"/>
    <w:rsid w:val="002F05FC"/>
    <w:rsid w:val="002F072B"/>
    <w:rsid w:val="00300C36"/>
    <w:rsid w:val="00304DCD"/>
    <w:rsid w:val="003053AD"/>
    <w:rsid w:val="003209BB"/>
    <w:rsid w:val="003219F0"/>
    <w:rsid w:val="00322CBD"/>
    <w:rsid w:val="003277CF"/>
    <w:rsid w:val="003314CC"/>
    <w:rsid w:val="00332D84"/>
    <w:rsid w:val="00334269"/>
    <w:rsid w:val="0034254A"/>
    <w:rsid w:val="003436AB"/>
    <w:rsid w:val="003450A6"/>
    <w:rsid w:val="00345936"/>
    <w:rsid w:val="003514A3"/>
    <w:rsid w:val="003522F6"/>
    <w:rsid w:val="0035698E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80EE7"/>
    <w:rsid w:val="00386DCC"/>
    <w:rsid w:val="00387A9E"/>
    <w:rsid w:val="00390B45"/>
    <w:rsid w:val="0039143F"/>
    <w:rsid w:val="003937FE"/>
    <w:rsid w:val="00393AC0"/>
    <w:rsid w:val="003953D4"/>
    <w:rsid w:val="003A0E16"/>
    <w:rsid w:val="003B0880"/>
    <w:rsid w:val="003B35A7"/>
    <w:rsid w:val="003C70D7"/>
    <w:rsid w:val="003C75EB"/>
    <w:rsid w:val="003D185F"/>
    <w:rsid w:val="003D2C26"/>
    <w:rsid w:val="003D5849"/>
    <w:rsid w:val="003F09B9"/>
    <w:rsid w:val="003F223A"/>
    <w:rsid w:val="003F772F"/>
    <w:rsid w:val="00401FDB"/>
    <w:rsid w:val="00404F8A"/>
    <w:rsid w:val="00406702"/>
    <w:rsid w:val="00407721"/>
    <w:rsid w:val="0041533E"/>
    <w:rsid w:val="004253F2"/>
    <w:rsid w:val="00425676"/>
    <w:rsid w:val="00435257"/>
    <w:rsid w:val="00444C6D"/>
    <w:rsid w:val="00455978"/>
    <w:rsid w:val="00467263"/>
    <w:rsid w:val="004735A3"/>
    <w:rsid w:val="004743E6"/>
    <w:rsid w:val="004822DD"/>
    <w:rsid w:val="00485A67"/>
    <w:rsid w:val="00487615"/>
    <w:rsid w:val="00491173"/>
    <w:rsid w:val="004A264A"/>
    <w:rsid w:val="004A77C8"/>
    <w:rsid w:val="004B32B0"/>
    <w:rsid w:val="004B3DEA"/>
    <w:rsid w:val="004C00DD"/>
    <w:rsid w:val="004C2683"/>
    <w:rsid w:val="004C26F7"/>
    <w:rsid w:val="004C31D3"/>
    <w:rsid w:val="004D1988"/>
    <w:rsid w:val="004D4FCE"/>
    <w:rsid w:val="004D7E68"/>
    <w:rsid w:val="004E5A1F"/>
    <w:rsid w:val="004F75DA"/>
    <w:rsid w:val="0050082E"/>
    <w:rsid w:val="00500EA2"/>
    <w:rsid w:val="00512250"/>
    <w:rsid w:val="00523759"/>
    <w:rsid w:val="00525DA3"/>
    <w:rsid w:val="00534AC9"/>
    <w:rsid w:val="00547DD6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4668"/>
    <w:rsid w:val="005958D3"/>
    <w:rsid w:val="00595C25"/>
    <w:rsid w:val="005A0315"/>
    <w:rsid w:val="005B022F"/>
    <w:rsid w:val="005B2A68"/>
    <w:rsid w:val="005C462D"/>
    <w:rsid w:val="005C5E96"/>
    <w:rsid w:val="005D21A3"/>
    <w:rsid w:val="005D5291"/>
    <w:rsid w:val="005E7593"/>
    <w:rsid w:val="0060129C"/>
    <w:rsid w:val="006036A5"/>
    <w:rsid w:val="006050CA"/>
    <w:rsid w:val="006058B4"/>
    <w:rsid w:val="00611A90"/>
    <w:rsid w:val="006140CB"/>
    <w:rsid w:val="00616959"/>
    <w:rsid w:val="006224E3"/>
    <w:rsid w:val="00622BB1"/>
    <w:rsid w:val="00625562"/>
    <w:rsid w:val="006278D4"/>
    <w:rsid w:val="006371BB"/>
    <w:rsid w:val="00641EDA"/>
    <w:rsid w:val="00642F64"/>
    <w:rsid w:val="006433E6"/>
    <w:rsid w:val="00647A76"/>
    <w:rsid w:val="00654660"/>
    <w:rsid w:val="00661116"/>
    <w:rsid w:val="00676FA3"/>
    <w:rsid w:val="00677557"/>
    <w:rsid w:val="00691741"/>
    <w:rsid w:val="00697E9C"/>
    <w:rsid w:val="006B0FBE"/>
    <w:rsid w:val="006B77FE"/>
    <w:rsid w:val="006B7ABC"/>
    <w:rsid w:val="006C1AF7"/>
    <w:rsid w:val="006D450E"/>
    <w:rsid w:val="006E033B"/>
    <w:rsid w:val="006E2D3F"/>
    <w:rsid w:val="006F1164"/>
    <w:rsid w:val="006F3FFA"/>
    <w:rsid w:val="006F50A5"/>
    <w:rsid w:val="00700328"/>
    <w:rsid w:val="00701B52"/>
    <w:rsid w:val="00714467"/>
    <w:rsid w:val="007169B5"/>
    <w:rsid w:val="00720FB6"/>
    <w:rsid w:val="007217DA"/>
    <w:rsid w:val="00721FBE"/>
    <w:rsid w:val="00722F84"/>
    <w:rsid w:val="0072475C"/>
    <w:rsid w:val="0073118F"/>
    <w:rsid w:val="0075313D"/>
    <w:rsid w:val="007556F1"/>
    <w:rsid w:val="0076494C"/>
    <w:rsid w:val="00773E22"/>
    <w:rsid w:val="00777E61"/>
    <w:rsid w:val="007851A1"/>
    <w:rsid w:val="007A0F2B"/>
    <w:rsid w:val="007A354B"/>
    <w:rsid w:val="007A4353"/>
    <w:rsid w:val="007A73B0"/>
    <w:rsid w:val="007C7911"/>
    <w:rsid w:val="007C7F1B"/>
    <w:rsid w:val="007D1E01"/>
    <w:rsid w:val="007D6813"/>
    <w:rsid w:val="007D7559"/>
    <w:rsid w:val="007D7B53"/>
    <w:rsid w:val="007E5C07"/>
    <w:rsid w:val="007E6F2C"/>
    <w:rsid w:val="007E7DC6"/>
    <w:rsid w:val="007E7F44"/>
    <w:rsid w:val="007F2295"/>
    <w:rsid w:val="007F3B96"/>
    <w:rsid w:val="00802F1B"/>
    <w:rsid w:val="00803CC0"/>
    <w:rsid w:val="00810AEC"/>
    <w:rsid w:val="00813150"/>
    <w:rsid w:val="00820D0B"/>
    <w:rsid w:val="0082286B"/>
    <w:rsid w:val="00824102"/>
    <w:rsid w:val="00824292"/>
    <w:rsid w:val="00824AAC"/>
    <w:rsid w:val="008256C5"/>
    <w:rsid w:val="00835CFD"/>
    <w:rsid w:val="00836CFE"/>
    <w:rsid w:val="00836DE9"/>
    <w:rsid w:val="00843BD1"/>
    <w:rsid w:val="008442A1"/>
    <w:rsid w:val="008467DB"/>
    <w:rsid w:val="0084765C"/>
    <w:rsid w:val="00854495"/>
    <w:rsid w:val="008615A7"/>
    <w:rsid w:val="00863685"/>
    <w:rsid w:val="00864A4A"/>
    <w:rsid w:val="00864CDC"/>
    <w:rsid w:val="00866C87"/>
    <w:rsid w:val="00872C0E"/>
    <w:rsid w:val="00872EDE"/>
    <w:rsid w:val="0087395F"/>
    <w:rsid w:val="00883A23"/>
    <w:rsid w:val="00895E03"/>
    <w:rsid w:val="008A0590"/>
    <w:rsid w:val="008A204F"/>
    <w:rsid w:val="008A3461"/>
    <w:rsid w:val="008A48F1"/>
    <w:rsid w:val="008B675B"/>
    <w:rsid w:val="008C0992"/>
    <w:rsid w:val="008C75CC"/>
    <w:rsid w:val="008D43A4"/>
    <w:rsid w:val="008E235C"/>
    <w:rsid w:val="008E2FCA"/>
    <w:rsid w:val="008F3686"/>
    <w:rsid w:val="00901AEC"/>
    <w:rsid w:val="00910220"/>
    <w:rsid w:val="009103E7"/>
    <w:rsid w:val="0092289C"/>
    <w:rsid w:val="00922DB8"/>
    <w:rsid w:val="00926793"/>
    <w:rsid w:val="00937CD5"/>
    <w:rsid w:val="00942E56"/>
    <w:rsid w:val="009433FD"/>
    <w:rsid w:val="00947036"/>
    <w:rsid w:val="00952CFD"/>
    <w:rsid w:val="00953F99"/>
    <w:rsid w:val="0095576F"/>
    <w:rsid w:val="00961763"/>
    <w:rsid w:val="009635C8"/>
    <w:rsid w:val="00967165"/>
    <w:rsid w:val="0097001D"/>
    <w:rsid w:val="00970327"/>
    <w:rsid w:val="0097127B"/>
    <w:rsid w:val="00983C24"/>
    <w:rsid w:val="0098450F"/>
    <w:rsid w:val="00984C97"/>
    <w:rsid w:val="00992A02"/>
    <w:rsid w:val="009A1371"/>
    <w:rsid w:val="009A3F80"/>
    <w:rsid w:val="009A63EE"/>
    <w:rsid w:val="009A75E5"/>
    <w:rsid w:val="009B319F"/>
    <w:rsid w:val="009B4D1E"/>
    <w:rsid w:val="009D07A3"/>
    <w:rsid w:val="009D556F"/>
    <w:rsid w:val="009E45CE"/>
    <w:rsid w:val="009F3005"/>
    <w:rsid w:val="009F47EE"/>
    <w:rsid w:val="009F6BB0"/>
    <w:rsid w:val="00A01744"/>
    <w:rsid w:val="00A052E0"/>
    <w:rsid w:val="00A119F7"/>
    <w:rsid w:val="00A11B78"/>
    <w:rsid w:val="00A1444D"/>
    <w:rsid w:val="00A1515D"/>
    <w:rsid w:val="00A15771"/>
    <w:rsid w:val="00A17932"/>
    <w:rsid w:val="00A21F5C"/>
    <w:rsid w:val="00A2331B"/>
    <w:rsid w:val="00A301CF"/>
    <w:rsid w:val="00A30B79"/>
    <w:rsid w:val="00A3102E"/>
    <w:rsid w:val="00A3208C"/>
    <w:rsid w:val="00A4232F"/>
    <w:rsid w:val="00A43DCA"/>
    <w:rsid w:val="00A63DA9"/>
    <w:rsid w:val="00A64DE4"/>
    <w:rsid w:val="00A65E07"/>
    <w:rsid w:val="00A73C60"/>
    <w:rsid w:val="00A81D28"/>
    <w:rsid w:val="00A87730"/>
    <w:rsid w:val="00A975FD"/>
    <w:rsid w:val="00AA6922"/>
    <w:rsid w:val="00AB0B9B"/>
    <w:rsid w:val="00AB4B9D"/>
    <w:rsid w:val="00AC0040"/>
    <w:rsid w:val="00AC1833"/>
    <w:rsid w:val="00AC6134"/>
    <w:rsid w:val="00AE0C12"/>
    <w:rsid w:val="00AE3E56"/>
    <w:rsid w:val="00AF2E20"/>
    <w:rsid w:val="00AF361E"/>
    <w:rsid w:val="00AF42F4"/>
    <w:rsid w:val="00B043A8"/>
    <w:rsid w:val="00B04A1A"/>
    <w:rsid w:val="00B073E7"/>
    <w:rsid w:val="00B10786"/>
    <w:rsid w:val="00B158A2"/>
    <w:rsid w:val="00B20D95"/>
    <w:rsid w:val="00B22420"/>
    <w:rsid w:val="00B30D4D"/>
    <w:rsid w:val="00B36A2A"/>
    <w:rsid w:val="00B374C3"/>
    <w:rsid w:val="00B55583"/>
    <w:rsid w:val="00B63226"/>
    <w:rsid w:val="00B63A4B"/>
    <w:rsid w:val="00B64537"/>
    <w:rsid w:val="00B6505B"/>
    <w:rsid w:val="00B6791D"/>
    <w:rsid w:val="00B71D60"/>
    <w:rsid w:val="00B72344"/>
    <w:rsid w:val="00B72E0A"/>
    <w:rsid w:val="00B7516D"/>
    <w:rsid w:val="00B814BB"/>
    <w:rsid w:val="00B871A3"/>
    <w:rsid w:val="00B9095C"/>
    <w:rsid w:val="00B93EA2"/>
    <w:rsid w:val="00BA371D"/>
    <w:rsid w:val="00BA619F"/>
    <w:rsid w:val="00BB2176"/>
    <w:rsid w:val="00BB3020"/>
    <w:rsid w:val="00BB4059"/>
    <w:rsid w:val="00BB4ED9"/>
    <w:rsid w:val="00BB54DB"/>
    <w:rsid w:val="00BD3F69"/>
    <w:rsid w:val="00BE085D"/>
    <w:rsid w:val="00BE4ADE"/>
    <w:rsid w:val="00C03F29"/>
    <w:rsid w:val="00C106AA"/>
    <w:rsid w:val="00C1669C"/>
    <w:rsid w:val="00C233F4"/>
    <w:rsid w:val="00C27A4B"/>
    <w:rsid w:val="00C420EC"/>
    <w:rsid w:val="00C42184"/>
    <w:rsid w:val="00C42A94"/>
    <w:rsid w:val="00C51B2B"/>
    <w:rsid w:val="00C53F92"/>
    <w:rsid w:val="00C577A9"/>
    <w:rsid w:val="00C61CB2"/>
    <w:rsid w:val="00C67110"/>
    <w:rsid w:val="00C67972"/>
    <w:rsid w:val="00C70C87"/>
    <w:rsid w:val="00C7105F"/>
    <w:rsid w:val="00C77801"/>
    <w:rsid w:val="00C90304"/>
    <w:rsid w:val="00C90DB2"/>
    <w:rsid w:val="00CA0F8E"/>
    <w:rsid w:val="00CA2921"/>
    <w:rsid w:val="00CA39C7"/>
    <w:rsid w:val="00CB599C"/>
    <w:rsid w:val="00CC412E"/>
    <w:rsid w:val="00CD6E8E"/>
    <w:rsid w:val="00CE074C"/>
    <w:rsid w:val="00CE3D0B"/>
    <w:rsid w:val="00CE6860"/>
    <w:rsid w:val="00CE75DE"/>
    <w:rsid w:val="00CF068F"/>
    <w:rsid w:val="00D00840"/>
    <w:rsid w:val="00D052F2"/>
    <w:rsid w:val="00D10063"/>
    <w:rsid w:val="00D16832"/>
    <w:rsid w:val="00D21B2C"/>
    <w:rsid w:val="00D228C8"/>
    <w:rsid w:val="00D24851"/>
    <w:rsid w:val="00D32CFC"/>
    <w:rsid w:val="00D371DF"/>
    <w:rsid w:val="00D4052D"/>
    <w:rsid w:val="00D4224B"/>
    <w:rsid w:val="00D46DCC"/>
    <w:rsid w:val="00D530E0"/>
    <w:rsid w:val="00D644CF"/>
    <w:rsid w:val="00D66450"/>
    <w:rsid w:val="00D80D40"/>
    <w:rsid w:val="00D85238"/>
    <w:rsid w:val="00D86E0C"/>
    <w:rsid w:val="00D8770F"/>
    <w:rsid w:val="00D91535"/>
    <w:rsid w:val="00D91603"/>
    <w:rsid w:val="00D975C7"/>
    <w:rsid w:val="00DA2047"/>
    <w:rsid w:val="00DA4683"/>
    <w:rsid w:val="00DA59E1"/>
    <w:rsid w:val="00DB0C8A"/>
    <w:rsid w:val="00DB1DA6"/>
    <w:rsid w:val="00DB1E12"/>
    <w:rsid w:val="00DB3A26"/>
    <w:rsid w:val="00DB56E1"/>
    <w:rsid w:val="00DB5AA9"/>
    <w:rsid w:val="00DC2BDD"/>
    <w:rsid w:val="00DC53D0"/>
    <w:rsid w:val="00DC654D"/>
    <w:rsid w:val="00DC6FAB"/>
    <w:rsid w:val="00DD1E53"/>
    <w:rsid w:val="00DD2CB9"/>
    <w:rsid w:val="00DD7480"/>
    <w:rsid w:val="00DE0257"/>
    <w:rsid w:val="00DE5767"/>
    <w:rsid w:val="00DE7997"/>
    <w:rsid w:val="00E03633"/>
    <w:rsid w:val="00E03B39"/>
    <w:rsid w:val="00E03EBA"/>
    <w:rsid w:val="00E04A83"/>
    <w:rsid w:val="00E05F5A"/>
    <w:rsid w:val="00E116CD"/>
    <w:rsid w:val="00E229ED"/>
    <w:rsid w:val="00E22B61"/>
    <w:rsid w:val="00E27633"/>
    <w:rsid w:val="00E36DBE"/>
    <w:rsid w:val="00E4019F"/>
    <w:rsid w:val="00E442D9"/>
    <w:rsid w:val="00E5191F"/>
    <w:rsid w:val="00E55749"/>
    <w:rsid w:val="00E63E8A"/>
    <w:rsid w:val="00E6515B"/>
    <w:rsid w:val="00E65E16"/>
    <w:rsid w:val="00E72768"/>
    <w:rsid w:val="00E760ED"/>
    <w:rsid w:val="00E76128"/>
    <w:rsid w:val="00E83C81"/>
    <w:rsid w:val="00E84F70"/>
    <w:rsid w:val="00E90016"/>
    <w:rsid w:val="00EC5947"/>
    <w:rsid w:val="00ED2C1F"/>
    <w:rsid w:val="00ED52DC"/>
    <w:rsid w:val="00EE3BDC"/>
    <w:rsid w:val="00EF086B"/>
    <w:rsid w:val="00EF0E12"/>
    <w:rsid w:val="00EF3D46"/>
    <w:rsid w:val="00F0013A"/>
    <w:rsid w:val="00F04AF5"/>
    <w:rsid w:val="00F14A5D"/>
    <w:rsid w:val="00F235A0"/>
    <w:rsid w:val="00F30D96"/>
    <w:rsid w:val="00F31EF2"/>
    <w:rsid w:val="00F36781"/>
    <w:rsid w:val="00F37EA8"/>
    <w:rsid w:val="00F4755C"/>
    <w:rsid w:val="00F54751"/>
    <w:rsid w:val="00F57175"/>
    <w:rsid w:val="00F57D60"/>
    <w:rsid w:val="00F63C8B"/>
    <w:rsid w:val="00F65535"/>
    <w:rsid w:val="00F71CDB"/>
    <w:rsid w:val="00F71EC4"/>
    <w:rsid w:val="00F7478C"/>
    <w:rsid w:val="00F80977"/>
    <w:rsid w:val="00F83F75"/>
    <w:rsid w:val="00F9058E"/>
    <w:rsid w:val="00F9247D"/>
    <w:rsid w:val="00FA651A"/>
    <w:rsid w:val="00FA675E"/>
    <w:rsid w:val="00FA748C"/>
    <w:rsid w:val="00FB68E5"/>
    <w:rsid w:val="00FB6B80"/>
    <w:rsid w:val="00FC0773"/>
    <w:rsid w:val="00FC19A7"/>
    <w:rsid w:val="00FC65F9"/>
    <w:rsid w:val="00FD230F"/>
    <w:rsid w:val="00FD3DD3"/>
    <w:rsid w:val="00FD3E5F"/>
    <w:rsid w:val="00FD4906"/>
    <w:rsid w:val="00FE7D0F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59C2-5566-4248-A1F5-6B890D3C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22</TotalTime>
  <Pages>8</Pages>
  <Words>1864</Words>
  <Characters>10625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12465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6</cp:revision>
  <dcterms:created xsi:type="dcterms:W3CDTF">2015-08-10T03:25:00Z</dcterms:created>
  <dcterms:modified xsi:type="dcterms:W3CDTF">2015-08-14T08:16:00Z</dcterms:modified>
</cp:coreProperties>
</file>