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4417" w:rsidRDefault="00245B95">
      <w:pPr>
        <w:spacing w:after="40"/>
      </w:pPr>
      <w:r>
        <w:rPr>
          <w:b/>
          <w:bCs/>
          <w:color w:val="1B2A4A"/>
          <w:sz w:val="32"/>
          <w:szCs w:val="32"/>
        </w:rPr>
        <w:t xml:space="preserve">Pipeline RAG </w:t>
      </w:r>
      <w:bookmarkStart w:id="0" w:name="_GoBack"/>
      <w:bookmarkEnd w:id="0"/>
    </w:p>
    <w:p w:rsidR="00AA4417" w:rsidRDefault="00245B95">
      <w:pPr>
        <w:spacing w:after="200"/>
      </w:pPr>
      <w:r>
        <w:rPr>
          <w:i/>
          <w:iCs/>
          <w:color w:val="666666"/>
        </w:rPr>
        <w:t>Nota técnica para el equipo de backend · 29 jul 2026</w:t>
      </w:r>
    </w:p>
    <w:p w:rsidR="00AA4417" w:rsidRDefault="00245B95">
      <w:pPr>
        <w:spacing w:after="100"/>
      </w:pPr>
      <w:r>
        <w:t xml:space="preserve">Estado: propuesta de contrato, no implementado — la base de datos (Postgres + pgvector) aún no está aprovisionada. Objetivo de este documento: acordar el formato de request/response antes de construir el endpoint, en particular cómo se devuelven fuentes y </w:t>
      </w:r>
      <w:r>
        <w:t>metadata de los chunks.</w:t>
      </w:r>
    </w:p>
    <w:p w:rsidR="00AA4417" w:rsidRDefault="00245B95">
      <w:pPr>
        <w:pStyle w:val="Heading1"/>
        <w:spacing w:before="240" w:after="80"/>
      </w:pPr>
      <w:r>
        <w:t>1. Request</w:t>
      </w:r>
    </w:p>
    <w:p w:rsidR="00AA4417" w:rsidRDefault="00245B95">
      <w:pPr>
        <w:spacing w:after="100"/>
      </w:pPr>
      <w:r>
        <w:t>Un único endpoint de consulta. Los filtros son opcionales pero recomendados si el frontend ya conoce la empresa/año (selector en UI) — ver riesgo en sección 3. Filtros confirmados para esta fase: ticker, company y fiscal_</w:t>
      </w:r>
      <w:r>
        <w:t>year — nada más. form_type y accounting_standard NO son filtros, ver 1.2.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>POST /query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>{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"question": "string (obligatorio)",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"session_id": "string (opcional, multi-turno)",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"filters": {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  "ticker": ["NCLH"],       // opcional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  "company": ["Norweg</w:t>
      </w:r>
      <w:r>
        <w:rPr>
          <w:rFonts w:ascii="Consolas" w:eastAsia="Consolas" w:hAnsi="Consolas" w:cs="Consolas"/>
          <w:sz w:val="18"/>
          <w:szCs w:val="18"/>
        </w:rPr>
        <w:t>ian Cruise Line"], // opcional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  "fiscal_year": 2020       // opcional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"top_k": 5                  // opcional, default definido por el pipeline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A4417" w:rsidRDefault="00245B95">
      <w:pPr>
        <w:pStyle w:val="Heading2"/>
        <w:spacing w:before="160" w:after="60"/>
      </w:pPr>
      <w:r>
        <w:t>1.1 "question" es texto plano, no un vector</w:t>
      </w:r>
    </w:p>
    <w:p w:rsidR="00AA4417" w:rsidRDefault="00245B95">
      <w:pPr>
        <w:spacing w:after="100"/>
      </w:pPr>
      <w:r>
        <w:t>El embedding de la pregunta es un paso interno del pipel</w:t>
      </w:r>
      <w:r>
        <w:t>ine, no algo que backend calcule ni envíe. Flujo dentro de /query: question (string) → se embebe con el mismo modelo que el corpus (all-MiniLM-L6-v2, 384-dim) → cosine search en pgvector (+ filtro de metadata si vino en "filters") → arma contexto → LLM gen</w:t>
      </w:r>
      <w:r>
        <w:t>era "answer". Motivo de mantenerlo interno: (1) la pregunta y el corpus deben vivir en el mismo espacio vectorial — si backend embebiera con otro modelo o versión, la búsqueda por similitud queda rota sin previo aviso; (2) a esta escala (~800K vectores, un</w:t>
      </w:r>
      <w:r>
        <w:t>a pregunta por request) separar el embedding en un servicio aparte no aporta nada, solo agrega un salto de red.</w:t>
      </w:r>
    </w:p>
    <w:p w:rsidR="00AA4417" w:rsidRDefault="00245B95">
      <w:pPr>
        <w:pStyle w:val="Heading2"/>
        <w:spacing w:before="160" w:after="60"/>
      </w:pPr>
      <w:r>
        <w:t>1.2 form_type y accounting_standard: metadata, no filtro</w:t>
      </w:r>
    </w:p>
    <w:p w:rsidR="00AA4417" w:rsidRDefault="00245B95">
      <w:pPr>
        <w:spacing w:after="100"/>
      </w:pPr>
      <w:r>
        <w:t xml:space="preserve">form_type (10-K vs 20-F) es una señal aproximada de si el filer es doméstico de EE.UU. </w:t>
      </w:r>
      <w:r>
        <w:t>o un "foreign private issuer" — correcta como heurística, pero es un proxy, no el dato real. El schema ya tiene un campo propio para esto: accounting_standard (US-GAAP, IFRS, etc.). Recomendación: la lógica de "¿necesito tratar distinto los números de esta</w:t>
      </w:r>
      <w:r>
        <w:t xml:space="preserve"> empresa?" debe leer accounting_standard directamente, no inferirlo de form_type. Ambos campos viajan en cada elemento de "sources" (sección 2.1) para que el paso de generación los use, sin que backend tenga que filtrar por ellos.</w:t>
      </w:r>
    </w:p>
    <w:p w:rsidR="00AA4417" w:rsidRDefault="00245B95">
      <w:pPr>
        <w:spacing w:after="100"/>
      </w:pPr>
      <w:r>
        <w:t xml:space="preserve">Caso de uso concreto: en </w:t>
      </w:r>
      <w:r>
        <w:t>preguntas comparativas entre dos empresas (3.3), si sus accounting_standard difieren, la respuesta generada debe decirlo explícitamente antes de poner las cifras una al lado de la otra — US-GAAP e IFRS no siempre reconocen ingresos, leases o impairments de</w:t>
      </w:r>
      <w:r>
        <w:t xml:space="preserve"> la misma forma, así que una comparación directa sin esa advertencia puede ser engañosa.</w:t>
      </w:r>
    </w:p>
    <w:p w:rsidR="00AA4417" w:rsidRDefault="00245B95">
      <w:pPr>
        <w:pStyle w:val="Heading1"/>
        <w:spacing w:before="240" w:after="80"/>
      </w:pPr>
      <w:r>
        <w:t>2. Response</w:t>
      </w:r>
    </w:p>
    <w:p w:rsidR="00AA4417" w:rsidRDefault="00245B95">
      <w:pPr>
        <w:spacing w:after="100"/>
      </w:pPr>
      <w:r>
        <w:t>La respuesta generada más el listado de chunks usados como evidencia (array, no un solo chunk — ver sección 3 sobre chunks vecinos).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>{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"answer": "string",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"confidence_flag": "ok | low_confidence | entity_not_found | subjective_no_verdict",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"sources": [ { ...ver tabla abajo... } ],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"retrieval_meta": {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  "filters_applied": { "ticker": "NCLH", "company": "Norwegian Cruise Line", "f</w:t>
      </w:r>
      <w:r>
        <w:rPr>
          <w:rFonts w:ascii="Consolas" w:eastAsia="Consolas" w:hAnsi="Consolas" w:cs="Consolas"/>
          <w:sz w:val="18"/>
          <w:szCs w:val="18"/>
        </w:rPr>
        <w:t>iscal_year": 2020 },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  "chunks_considered": 5,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  "model": "all-MiniLM-L6-v2"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:rsidR="00AA4417" w:rsidRDefault="00245B95">
      <w:pPr>
        <w:shd w:val="clear" w:color="auto" w:fill="F2F2F2"/>
        <w:ind w:left="100" w:right="10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A4417" w:rsidRDefault="00245B95">
      <w:pPr>
        <w:pStyle w:val="Heading2"/>
        <w:spacing w:before="160" w:after="60"/>
      </w:pPr>
      <w:r>
        <w:lastRenderedPageBreak/>
        <w:t>2.1 Estructura de cada elemento en "sources"</w:t>
      </w:r>
    </w:p>
    <w:tbl>
      <w:tblPr>
        <w:tblW w:w="84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5400"/>
      </w:tblGrid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2A4A"/>
          </w:tcPr>
          <w:p w:rsidR="00AA4417" w:rsidRDefault="00245B95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200" w:type="dxa"/>
            <w:shd w:val="clear" w:color="auto" w:fill="1B2A4A"/>
          </w:tcPr>
          <w:p w:rsidR="00AA4417" w:rsidRDefault="00245B95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400" w:type="dxa"/>
            <w:shd w:val="clear" w:color="auto" w:fill="1B2A4A"/>
          </w:tcPr>
          <w:p w:rsidR="00AA4417" w:rsidRDefault="00245B95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chunk_id</w:t>
            </w:r>
          </w:p>
        </w:tc>
        <w:tc>
          <w:tcPr>
            <w:tcW w:w="1200" w:type="dxa"/>
          </w:tcPr>
          <w:p w:rsidR="00AA4417" w:rsidRDefault="00245B95">
            <w:r>
              <w:t>string</w:t>
            </w:r>
          </w:p>
        </w:tc>
        <w:tc>
          <w:tcPr>
            <w:tcW w:w="5400" w:type="dxa"/>
          </w:tcPr>
          <w:p w:rsidR="00AA4417" w:rsidRDefault="00245B95">
            <w:r>
              <w:t>PK del chunk, para trazabilidad.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company / ticker</w:t>
            </w:r>
          </w:p>
        </w:tc>
        <w:tc>
          <w:tcPr>
            <w:tcW w:w="1200" w:type="dxa"/>
          </w:tcPr>
          <w:p w:rsidR="00AA4417" w:rsidRDefault="00245B95">
            <w:r>
              <w:t>string</w:t>
            </w:r>
          </w:p>
        </w:tc>
        <w:tc>
          <w:tcPr>
            <w:tcW w:w="5400" w:type="dxa"/>
          </w:tcPr>
          <w:p w:rsidR="00AA4417" w:rsidRDefault="00245B95">
            <w:r>
              <w:t>Filtros confirmados; company es la normalizada, ticker 1-5 car.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fiscal_year</w:t>
            </w:r>
          </w:p>
        </w:tc>
        <w:tc>
          <w:tcPr>
            <w:tcW w:w="1200" w:type="dxa"/>
          </w:tcPr>
          <w:p w:rsidR="00AA4417" w:rsidRDefault="00245B95">
            <w:r>
              <w:t>int</w:t>
            </w:r>
          </w:p>
        </w:tc>
        <w:tc>
          <w:tcPr>
            <w:tcW w:w="5400" w:type="dxa"/>
          </w:tcPr>
          <w:p w:rsidR="00AA4417" w:rsidRDefault="00245B95">
            <w:r>
              <w:t>Filtro confirmado.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form_type</w:t>
            </w:r>
          </w:p>
        </w:tc>
        <w:tc>
          <w:tcPr>
            <w:tcW w:w="1200" w:type="dxa"/>
          </w:tcPr>
          <w:p w:rsidR="00AA4417" w:rsidRDefault="00245B95">
            <w:r>
              <w:t>string</w:t>
            </w:r>
          </w:p>
        </w:tc>
        <w:tc>
          <w:tcPr>
            <w:tcW w:w="5400" w:type="dxa"/>
          </w:tcPr>
          <w:p w:rsidR="00AA4417" w:rsidRDefault="00245B95">
            <w:r>
              <w:t>10-K, 20-F, etc. Metadata informativa, NO es filtro — proxy de filer doméstico/extranjero, ver 1.2.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accounting_standard</w:t>
            </w:r>
          </w:p>
        </w:tc>
        <w:tc>
          <w:tcPr>
            <w:tcW w:w="1200" w:type="dxa"/>
          </w:tcPr>
          <w:p w:rsidR="00AA4417" w:rsidRDefault="00245B95">
            <w:r>
              <w:t>string</w:t>
            </w:r>
          </w:p>
        </w:tc>
        <w:tc>
          <w:tcPr>
            <w:tcW w:w="5400" w:type="dxa"/>
          </w:tcPr>
          <w:p w:rsidR="00AA4417" w:rsidRDefault="00245B95">
            <w:r>
              <w:t>US-GAAP, IFRS, etc. Metadata informativa, NO es filtro — usar este campo (no form_type) para decidir si una comparación entre empresas necesita advertencia, ver 3.3.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canonical_section</w:t>
            </w:r>
          </w:p>
        </w:tc>
        <w:tc>
          <w:tcPr>
            <w:tcW w:w="1200" w:type="dxa"/>
          </w:tcPr>
          <w:p w:rsidR="00AA4417" w:rsidRDefault="00245B95">
            <w:r>
              <w:t>string, nullable</w:t>
            </w:r>
          </w:p>
        </w:tc>
        <w:tc>
          <w:tcPr>
            <w:tcW w:w="5400" w:type="dxa"/>
          </w:tcPr>
          <w:p w:rsidR="00AA4417" w:rsidRDefault="00245B95">
            <w:r>
              <w:t>Ej. "Balance Sheet". Confiabilidad aún no verificada —</w:t>
            </w:r>
            <w:r>
              <w:t xml:space="preserve"> no usar como único filtro todavía.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source_file, page_start, page_end</w:t>
            </w:r>
          </w:p>
        </w:tc>
        <w:tc>
          <w:tcPr>
            <w:tcW w:w="1200" w:type="dxa"/>
          </w:tcPr>
          <w:p w:rsidR="00AA4417" w:rsidRDefault="00245B95">
            <w:r>
              <w:t>string/int</w:t>
            </w:r>
          </w:p>
        </w:tc>
        <w:tc>
          <w:tcPr>
            <w:tcW w:w="5400" w:type="dxa"/>
          </w:tcPr>
          <w:p w:rsidR="00AA4417" w:rsidRDefault="00245B95">
            <w:r>
              <w:t>Para citar la página exacta del PDF original.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relevance_score</w:t>
            </w:r>
          </w:p>
        </w:tc>
        <w:tc>
          <w:tcPr>
            <w:tcW w:w="1200" w:type="dxa"/>
          </w:tcPr>
          <w:p w:rsidR="00AA4417" w:rsidRDefault="00245B95">
            <w:r>
              <w:t>float</w:t>
            </w:r>
          </w:p>
        </w:tc>
        <w:tc>
          <w:tcPr>
            <w:tcW w:w="5400" w:type="dxa"/>
          </w:tcPr>
          <w:p w:rsidR="00AA4417" w:rsidRDefault="00245B95">
            <w:r>
              <w:t>Similitud coseno del chunk. No usar sola como umbral de rechazo (ver 3.2).</w:t>
            </w:r>
          </w:p>
        </w:tc>
      </w:tr>
      <w:tr w:rsidR="00AA441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A4417" w:rsidRDefault="00245B95">
            <w:r>
              <w:t>text_snippet</w:t>
            </w:r>
          </w:p>
        </w:tc>
        <w:tc>
          <w:tcPr>
            <w:tcW w:w="1200" w:type="dxa"/>
          </w:tcPr>
          <w:p w:rsidR="00AA4417" w:rsidRDefault="00245B95">
            <w:r>
              <w:t>string</w:t>
            </w:r>
          </w:p>
        </w:tc>
        <w:tc>
          <w:tcPr>
            <w:tcW w:w="5400" w:type="dxa"/>
          </w:tcPr>
          <w:p w:rsidR="00AA4417" w:rsidRDefault="00245B95">
            <w:r>
              <w:t>Fragmento</w:t>
            </w:r>
            <w:r>
              <w:t xml:space="preserve"> citado, no el chunk completo (tamaño de payload).</w:t>
            </w:r>
          </w:p>
        </w:tc>
      </w:tr>
    </w:tbl>
    <w:p w:rsidR="00AA4417" w:rsidRDefault="00245B95">
      <w:pPr>
        <w:pStyle w:val="Heading1"/>
        <w:spacing w:before="240" w:after="80"/>
      </w:pPr>
      <w:r>
        <w:t>3. Puntos abiertos / riesgos a validar con backend</w:t>
      </w:r>
    </w:p>
    <w:p w:rsidR="00AA4417" w:rsidRDefault="00245B95">
      <w:pPr>
        <w:pStyle w:val="Heading2"/>
        <w:spacing w:before="160" w:after="60"/>
      </w:pPr>
      <w:r>
        <w:t>3.1 Filtro de metadata todavía no implementado</w:t>
      </w:r>
    </w:p>
    <w:p w:rsidR="00AA4417" w:rsidRDefault="00245B95">
      <w:pPr>
        <w:spacing w:after="100"/>
      </w:pPr>
      <w:r>
        <w:t>Los tests de retrieval (round 2) mostraron ranking cruzado entre empresas: una pregunta sobre Insulet trajo en el top-1 un chunk de Abiomed por similitud de redacción tipo boilerplate ("Net income of $X million" es casi idéntico en todos los 10-K). Los chu</w:t>
      </w:r>
      <w:r>
        <w:t>nks correctos de Insulet estaban en el índice, solo perdían el top-1 sin el filtro. Conclusión: si el frontend conoce ticker/fiscal_year, debe enviarlos en "filters" — no es opcional en la práctica hasta que el filtro esté implementado.</w:t>
      </w:r>
    </w:p>
    <w:p w:rsidR="00AA4417" w:rsidRDefault="00245B95">
      <w:pPr>
        <w:pStyle w:val="Heading2"/>
        <w:spacing w:before="160" w:after="60"/>
      </w:pPr>
      <w:r>
        <w:t>3.2 El score de sim</w:t>
      </w:r>
      <w:r>
        <w:t>ilitud no distingue "empresa no indexada"</w:t>
      </w:r>
    </w:p>
    <w:p w:rsidR="00AA4417" w:rsidRDefault="00245B95">
      <w:pPr>
        <w:spacing w:after="100"/>
      </w:pPr>
      <w:r>
        <w:t>Preguntas sobre empresas ausentes del corpus (Apple, Tesla) devolvieron scores (0.55-0.61) dentro del mismo rango que respuestas correctas (0.56-0.81). Un umbral de similitud solo no alcanza para decidir "no encont</w:t>
      </w:r>
      <w:r>
        <w:t>rado" — se necesita chequeo explícito contra el filtro de metadata antes de generar la respuesta. "confidence_flag" en la response existe para exponer este chequeo al backend, no para que el backend intente inferirlo del score.</w:t>
      </w:r>
    </w:p>
    <w:p w:rsidR="00AA4417" w:rsidRDefault="00245B95">
      <w:pPr>
        <w:pStyle w:val="Heading2"/>
        <w:spacing w:before="160" w:after="60"/>
      </w:pPr>
      <w:r>
        <w:t>3.3 Preguntas comparativas y</w:t>
      </w:r>
      <w:r>
        <w:t xml:space="preserve"> subjetivas — sin resolver</w:t>
      </w:r>
    </w:p>
    <w:p w:rsidR="00AA4417" w:rsidRDefault="00245B95">
      <w:pPr>
        <w:spacing w:after="100"/>
      </w:pPr>
      <w:r>
        <w:t>Comparativas objetivas ("¿A o B tuvo más revenue?") son abordables extendiendo el filtro para detectar múltiples entidades y correr un retrieval por entidad. Preguntas subjetivas ("¿cuál es la mejor?") no tienen solución vía retr</w:t>
      </w:r>
      <w:r>
        <w:t>ieval — no hay contenido en los 10-K que respalde un veredicto; la capa de generación debe pedir aclaración o presentar cifras sin veredicto (de ahí el flag "subjective_no_verdict"). Ninguna de las dos está implementada todavía.</w:t>
      </w:r>
    </w:p>
    <w:p w:rsidR="00AA4417" w:rsidRDefault="00245B95">
      <w:pPr>
        <w:spacing w:after="100"/>
      </w:pPr>
      <w:r>
        <w:t>Agregado: en comparativas o</w:t>
      </w:r>
      <w:r>
        <w:t>bjetivas, revisar accounting_standard de cada empresa (sección 1.2) antes de yuxtaponer cifras. Comparar revenue US-GAAP contra IFRS sin advertencia es un error de contenido, no solo un detalle de presentación — la capa de generación debe incluir la aclara</w:t>
      </w:r>
      <w:r>
        <w:t>ción cuando difieren.</w:t>
      </w:r>
    </w:p>
    <w:p w:rsidR="00AA4417" w:rsidRDefault="00245B95">
      <w:pPr>
        <w:pStyle w:val="Heading2"/>
        <w:spacing w:before="160" w:after="60"/>
      </w:pPr>
      <w:r>
        <w:t>3.4 "sources" es un array, no un chunk único</w:t>
      </w:r>
    </w:p>
    <w:p w:rsidR="00AA4417" w:rsidRDefault="00245B95">
      <w:pPr>
        <w:spacing w:after="100"/>
      </w:pPr>
      <w:r>
        <w:t>El schema incluye chunk_index para expandir vecinos (±1) cuando un chunk de alta densidad numérica (tabla) es recuperado, así se reúnen encabezado y datos de una tabla partida. Un mismo "he</w:t>
      </w:r>
      <w:r>
        <w:t>cho" citado puede requerir más de un chunk fuente — el contrato ya lo contempla como array.</w:t>
      </w:r>
    </w:p>
    <w:sectPr w:rsidR="00AA44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C7D15"/>
    <w:multiLevelType w:val="hybridMultilevel"/>
    <w:tmpl w:val="E460DB18"/>
    <w:lvl w:ilvl="0" w:tplc="D774243C">
      <w:start w:val="1"/>
      <w:numFmt w:val="bullet"/>
      <w:lvlText w:val="●"/>
      <w:lvlJc w:val="left"/>
      <w:pPr>
        <w:ind w:left="720" w:hanging="360"/>
      </w:pPr>
    </w:lvl>
    <w:lvl w:ilvl="1" w:tplc="98767B5E">
      <w:start w:val="1"/>
      <w:numFmt w:val="bullet"/>
      <w:lvlText w:val="○"/>
      <w:lvlJc w:val="left"/>
      <w:pPr>
        <w:ind w:left="1440" w:hanging="360"/>
      </w:pPr>
    </w:lvl>
    <w:lvl w:ilvl="2" w:tplc="49EC7A00">
      <w:start w:val="1"/>
      <w:numFmt w:val="bullet"/>
      <w:lvlText w:val="■"/>
      <w:lvlJc w:val="left"/>
      <w:pPr>
        <w:ind w:left="2160" w:hanging="360"/>
      </w:pPr>
    </w:lvl>
    <w:lvl w:ilvl="3" w:tplc="F3D25DCA">
      <w:start w:val="1"/>
      <w:numFmt w:val="bullet"/>
      <w:lvlText w:val="●"/>
      <w:lvlJc w:val="left"/>
      <w:pPr>
        <w:ind w:left="2880" w:hanging="360"/>
      </w:pPr>
    </w:lvl>
    <w:lvl w:ilvl="4" w:tplc="7D52346A">
      <w:start w:val="1"/>
      <w:numFmt w:val="bullet"/>
      <w:lvlText w:val="○"/>
      <w:lvlJc w:val="left"/>
      <w:pPr>
        <w:ind w:left="3600" w:hanging="360"/>
      </w:pPr>
    </w:lvl>
    <w:lvl w:ilvl="5" w:tplc="1378411C">
      <w:start w:val="1"/>
      <w:numFmt w:val="bullet"/>
      <w:lvlText w:val="■"/>
      <w:lvlJc w:val="left"/>
      <w:pPr>
        <w:ind w:left="4320" w:hanging="360"/>
      </w:pPr>
    </w:lvl>
    <w:lvl w:ilvl="6" w:tplc="60AAF80C">
      <w:start w:val="1"/>
      <w:numFmt w:val="bullet"/>
      <w:lvlText w:val="●"/>
      <w:lvlJc w:val="left"/>
      <w:pPr>
        <w:ind w:left="5040" w:hanging="360"/>
      </w:pPr>
    </w:lvl>
    <w:lvl w:ilvl="7" w:tplc="6CFECFAC">
      <w:start w:val="1"/>
      <w:numFmt w:val="bullet"/>
      <w:lvlText w:val="●"/>
      <w:lvlJc w:val="left"/>
      <w:pPr>
        <w:ind w:left="5760" w:hanging="360"/>
      </w:pPr>
    </w:lvl>
    <w:lvl w:ilvl="8" w:tplc="B2BEC5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7"/>
    <w:rsid w:val="00245B95"/>
    <w:rsid w:val="00AA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BBE0"/>
  <w15:docId w15:val="{DD32596E-02D7-4682-8244-53194506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 garcia</cp:lastModifiedBy>
  <cp:revision>2</cp:revision>
  <dcterms:created xsi:type="dcterms:W3CDTF">2026-07-30T00:31:00Z</dcterms:created>
  <dcterms:modified xsi:type="dcterms:W3CDTF">2026-07-30T00:33:00Z</dcterms:modified>
</cp:coreProperties>
</file>