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venir Book" w:cs="Avenir Book" w:hAnsi="Avenir Book" w:eastAsia="Avenir Book"/>
          <w:sz w:val="36"/>
          <w:szCs w:val="36"/>
        </w:rPr>
      </w:pPr>
      <w:r>
        <w:rPr>
          <w:rFonts w:ascii="Avenir Book" w:hAnsi="Avenir Book"/>
          <w:sz w:val="36"/>
          <w:szCs w:val="36"/>
          <w:rtl w:val="0"/>
          <w:lang w:val="en-US"/>
        </w:rPr>
        <w:t>Anton Dovzhenko</w:t>
      </w:r>
    </w:p>
    <w:p>
      <w:pPr>
        <w:pStyle w:val="Body"/>
        <w:jc w:val="center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  <w:sectPr>
          <w:headerReference w:type="default" r:id="rId4"/>
          <w:footerReference w:type="default" r:id="rId5"/>
          <w:pgSz w:w="11906" w:h="16838" w:orient="portrait"/>
          <w:pgMar w:top="0" w:right="720" w:bottom="360" w:left="720" w:header="0" w:footer="0"/>
          <w:bidi w:val="0"/>
        </w:sect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Curriculum Vitae</w:t>
      </w:r>
      <w:r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r>
    </w:p>
    <w:p>
      <w:pPr>
        <w:pStyle w:val="Body"/>
        <w:pBdr>
          <w:top w:val="nil"/>
          <w:left w:val="nil"/>
          <w:bottom w:val="single" w:color="a9a9a9" w:sz="8" w:space="0" w:shadow="0" w:frame="0"/>
          <w:right w:val="nil"/>
        </w:pBdr>
        <w:jc w:val="left"/>
        <w:rPr>
          <w:rFonts w:ascii="Avenir Book" w:cs="Avenir Book" w:hAnsi="Avenir Book" w:eastAsia="Avenir Book"/>
          <w:outline w:val="0"/>
          <w:color w:val="941100"/>
          <w:sz w:val="26"/>
          <w:szCs w:val="26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sz w:val="26"/>
          <w:szCs w:val="26"/>
          <w:rtl w:val="0"/>
          <w:lang w:val="en-US"/>
          <w14:textFill>
            <w14:solidFill>
              <w14:srgbClr w14:val="941100"/>
            </w14:solidFill>
          </w14:textFill>
        </w:rPr>
        <w:t>Summary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cs="Avenir Book" w:hAnsi="Avenir Book" w:eastAsia="Avenir Book"/>
        </w:rPr>
        <w:tab/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I have been working in FX trading as quant, trader and software engineer for last 6 years. And have become </w:t>
      </w:r>
      <w:r>
        <w:rPr>
          <w:rFonts w:ascii="Avenir Book" w:hAnsi="Avenir Book"/>
          <w:sz w:val="20"/>
          <w:szCs w:val="20"/>
          <w:rtl w:val="0"/>
          <w:lang w:val="en-US"/>
        </w:rPr>
        <w:t>well acquainted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with sell-side electronic systems lifecycle and trading strategies. </w:t>
      </w:r>
    </w:p>
    <w:p>
      <w:pPr>
        <w:pStyle w:val="Body"/>
        <w:jc w:val="left"/>
        <w:rPr>
          <w:rFonts w:ascii="Avenir Book" w:cs="Avenir Book" w:hAnsi="Avenir Book" w:eastAsia="Avenir Book"/>
        </w:rPr>
      </w:pPr>
      <w:r>
        <w:rPr>
          <w:rFonts w:ascii="Avenir Book" w:cs="Avenir Book" w:hAnsi="Avenir Book" w:eastAsia="Avenir Book"/>
          <w:sz w:val="20"/>
          <w:szCs w:val="20"/>
          <w:rtl w:val="0"/>
        </w:rPr>
        <w:tab/>
        <w:t>My current responsibilities include client performance evaluation; market execution, pricing and hedging strategies R&amp;D; client flow trading.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cs="Avenir Book" w:hAnsi="Avenir Book" w:eastAsia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  <w:rtl w:val="0"/>
          <w:lang w:val="nl-NL"/>
        </w:rPr>
        <w:t>Beside</w:t>
      </w:r>
      <w:r>
        <w:rPr>
          <w:rFonts w:ascii="Avenir Book" w:hAnsi="Avenir Book"/>
          <w:sz w:val="20"/>
          <w:szCs w:val="20"/>
          <w:rtl w:val="0"/>
          <w:lang w:val="en-US"/>
        </w:rPr>
        <w:t>s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that</w:t>
      </w:r>
      <w:r>
        <w:rPr>
          <w:rFonts w:ascii="Avenir Book" w:hAnsi="Avenir Book"/>
          <w:sz w:val="20"/>
          <w:szCs w:val="20"/>
          <w:rtl w:val="0"/>
          <w:lang w:val="en-US"/>
        </w:rPr>
        <w:t>,</w:t>
      </w:r>
      <w:r>
        <w:rPr>
          <w:rFonts w:ascii="Avenir Book" w:hAnsi="Avenir Book"/>
          <w:sz w:val="20"/>
          <w:szCs w:val="20"/>
          <w:rtl w:val="0"/>
        </w:rPr>
        <w:t xml:space="preserve"> I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am active participant in 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software engineering contests like </w:t>
      </w:r>
      <w:r>
        <w:rPr>
          <w:rFonts w:ascii="Avenir Book" w:hAnsi="Avenir Book"/>
          <w:sz w:val="20"/>
          <w:szCs w:val="20"/>
          <w:rtl w:val="0"/>
          <w:lang w:val="en-US"/>
        </w:rPr>
        <w:t>AdventOfCode</w:t>
      </w:r>
      <w:r>
        <w:rPr>
          <w:rFonts w:ascii="Avenir Book" w:hAnsi="Avenir Book"/>
          <w:sz w:val="20"/>
          <w:szCs w:val="20"/>
          <w:rtl w:val="0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en-US"/>
        </w:rPr>
        <w:t>and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Leetcode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, and active member of KDB+/Q community on </w: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instrText xml:space="preserve"> HYPERLINK "https://stackoverflow.com/users/5182339/anton-dovzhenko"</w:instrTex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en-US"/>
        </w:rPr>
        <w:t>StackOverflow</w:t>
      </w:r>
      <w:r>
        <w:rPr>
          <w:rFonts w:ascii="Avenir Book" w:cs="Avenir Book" w:hAnsi="Avenir Book" w:eastAsia="Avenir Book"/>
          <w:sz w:val="20"/>
          <w:szCs w:val="20"/>
        </w:rPr>
        <w:fldChar w:fldCharType="end" w:fldLock="0"/>
      </w:r>
    </w:p>
    <w:p>
      <w:pPr>
        <w:pStyle w:val="Body"/>
        <w:jc w:val="left"/>
        <w:rPr>
          <w:rFonts w:ascii="Avenir Book" w:cs="Avenir Book" w:hAnsi="Avenir Book" w:eastAsia="Avenir Book"/>
        </w:rPr>
      </w:pPr>
    </w:p>
    <w:p>
      <w:pPr>
        <w:pStyle w:val="Body"/>
        <w:pBdr>
          <w:top w:val="nil"/>
          <w:left w:val="nil"/>
          <w:bottom w:val="single" w:color="a9a9a9" w:sz="8" w:space="0" w:shadow="0" w:frame="0"/>
          <w:right w:val="nil"/>
        </w:pBdr>
        <w:jc w:val="left"/>
        <w:rPr>
          <w:rFonts w:ascii="Avenir Book" w:cs="Avenir Book" w:hAnsi="Avenir Book" w:eastAsia="Avenir Book"/>
        </w:rPr>
      </w:pPr>
      <w:r>
        <w:rPr>
          <w:rFonts w:ascii="Avenir Book" w:hAnsi="Avenir Book"/>
          <w:outline w:val="0"/>
          <w:color w:val="941100"/>
          <w:sz w:val="26"/>
          <w:szCs w:val="26"/>
          <w:rtl w:val="0"/>
          <w:lang w:val="en-US"/>
          <w14:textFill>
            <w14:solidFill>
              <w14:srgbClr w14:val="941100"/>
            </w14:solidFill>
          </w14:textFill>
        </w:rPr>
        <w:t>Work Experience</w:t>
      </w:r>
      <w:r>
        <w:rPr>
          <w:rFonts w:ascii="Avenir Book" w:cs="Avenir Book" w:hAnsi="Avenir Book" w:eastAsia="Avenir Book"/>
        </w:rPr>
        <w:tab/>
        <w:tab/>
        <w:tab/>
        <w:tab/>
        <w:tab/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 xml:space="preserve">Sep 2018 </w:t>
      </w:r>
      <w:r>
        <w:rPr>
          <w:rFonts w:ascii="Avenir Heavy" w:hAnsi="Avenir Heavy" w:hint="default"/>
          <w:sz w:val="20"/>
          <w:szCs w:val="20"/>
          <w:rtl w:val="0"/>
          <w:lang w:val="en-US"/>
        </w:rPr>
        <w:t xml:space="preserve">– </w:t>
      </w:r>
      <w:r>
        <w:rPr>
          <w:rFonts w:ascii="Avenir Heavy" w:hAnsi="Avenir Heavy"/>
          <w:sz w:val="20"/>
          <w:szCs w:val="20"/>
          <w:rtl w:val="0"/>
          <w:lang w:val="en-US"/>
        </w:rPr>
        <w:t>current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Commerzbank AG, Singapore</w:t>
      </w:r>
    </w:p>
    <w:p>
      <w:pPr>
        <w:pStyle w:val="Body"/>
        <w:jc w:val="left"/>
        <w:rPr>
          <w:rFonts w:ascii="Avenir Heavy" w:cs="Avenir Heavy" w:hAnsi="Avenir Heavy" w:eastAsia="Avenir Heavy"/>
          <w:outline w:val="0"/>
          <w:color w:val="521b92"/>
          <w:sz w:val="20"/>
          <w:szCs w:val="20"/>
          <w14:textFill>
            <w14:solidFill>
              <w14:srgbClr w14:val="531B93"/>
            </w14:solidFill>
          </w14:textFill>
        </w:rPr>
      </w:pPr>
      <w:r>
        <w:rPr>
          <w:rFonts w:ascii="Avenir Heavy" w:hAnsi="Avenir Heavy"/>
          <w:outline w:val="0"/>
          <w:color w:val="521b92"/>
          <w:sz w:val="20"/>
          <w:szCs w:val="20"/>
          <w:rtl w:val="0"/>
          <w:lang w:val="en-US"/>
          <w14:textFill>
            <w14:solidFill>
              <w14:srgbClr w14:val="531B93"/>
            </w14:solidFill>
          </w14:textFill>
        </w:rPr>
        <w:t>FICC Trader, VP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Implemented realtime trade P&amp;L attribution algorithm used for client performance evaluation, spread adjustments and A/B testing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Designed and implemented number of FX algorithmic and quantitative trading strategies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Reviewed and backtested various FX spot market making and hedging algorithms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Created reporting tool for RFQ hit/miss analysis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 xml:space="preserve">Covered electronic FX Spot book in Asia </w:t>
      </w:r>
      <w:r>
        <w:rPr>
          <w:rFonts w:ascii="Avenir Book" w:hAnsi="Avenir Book"/>
          <w:sz w:val="20"/>
          <w:szCs w:val="20"/>
          <w:rtl w:val="0"/>
          <w:lang w:val="en-US"/>
        </w:rPr>
        <w:t>occasionally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 xml:space="preserve">Sep 2013 </w:t>
      </w:r>
      <w:r>
        <w:rPr>
          <w:rFonts w:ascii="Avenir Heavy" w:hAnsi="Avenir Heavy" w:hint="default"/>
          <w:sz w:val="20"/>
          <w:szCs w:val="20"/>
          <w:rtl w:val="0"/>
          <w:lang w:val="en-US"/>
        </w:rPr>
        <w:t xml:space="preserve">– </w:t>
      </w:r>
      <w:r>
        <w:rPr>
          <w:rFonts w:ascii="Avenir Heavy" w:hAnsi="Avenir Heavy"/>
          <w:sz w:val="20"/>
          <w:szCs w:val="20"/>
          <w:rtl w:val="0"/>
          <w:lang w:val="en-US"/>
        </w:rPr>
        <w:t>Aug 2018</w:t>
        <w:tab/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Standard Chartered Bank, Singapore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outline w:val="0"/>
          <w:color w:val="521b92"/>
          <w:sz w:val="20"/>
          <w:szCs w:val="20"/>
          <w:rtl w:val="0"/>
          <w:lang w:val="en-US"/>
          <w14:textFill>
            <w14:solidFill>
              <w14:srgbClr w14:val="531B93"/>
            </w14:solidFill>
          </w14:textFill>
        </w:rPr>
        <w:t>FX Trading, Director</w:t>
      </w:r>
      <w:r>
        <w:rPr>
          <w:rFonts w:ascii="Avenir Heavy" w:hAnsi="Avenir Heavy"/>
          <w:sz w:val="20"/>
          <w:szCs w:val="20"/>
          <w:rtl w:val="0"/>
          <w:lang w:val="en-US"/>
        </w:rPr>
        <w:t xml:space="preserve"> / Soft</w:t>
      </w:r>
      <w:r>
        <w:rPr>
          <w:rFonts w:ascii="Avenir Heavy" w:hAnsi="Avenir Heavy"/>
          <w:sz w:val="20"/>
          <w:szCs w:val="20"/>
          <w:rtl w:val="0"/>
          <w:lang w:val="en-US"/>
        </w:rPr>
        <w:t>ware Engineer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Designed and implemented realtime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trade P&amp;L attribution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algorithm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Covered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Asian eFX Spot book</w:t>
      </w:r>
      <w:r>
        <w:rPr>
          <w:rFonts w:ascii="Avenir Book" w:hAnsi="Avenir Book"/>
          <w:sz w:val="20"/>
          <w:szCs w:val="20"/>
          <w:rtl w:val="0"/>
          <w:lang w:val="ru-RU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en-US"/>
        </w:rPr>
        <w:t>occasionally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Created analytical web-portal with for FX trading and sales business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 xml:space="preserve">Developed FX benchmarking core logic for </w:t>
      </w:r>
      <w:r>
        <w:rPr>
          <w:rFonts w:ascii="Avenir Book" w:hAnsi="Avenir Book"/>
          <w:sz w:val="20"/>
          <w:szCs w:val="20"/>
          <w:rtl w:val="0"/>
          <w:lang w:val="en-US"/>
        </w:rPr>
        <w:t>Best Execution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regulatory reporting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Created Q/Python emailing framework for alerts and reports distribution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Played major role in replacing OneTick with KDB+/Q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 xml:space="preserve">Feb 2012 </w:t>
      </w:r>
      <w:r>
        <w:rPr>
          <w:rFonts w:ascii="Avenir Heavy" w:hAnsi="Avenir Heavy" w:hint="default"/>
          <w:sz w:val="20"/>
          <w:szCs w:val="20"/>
          <w:rtl w:val="0"/>
          <w:lang w:val="en-US"/>
        </w:rPr>
        <w:t xml:space="preserve">– </w:t>
      </w:r>
      <w:r>
        <w:rPr>
          <w:rFonts w:ascii="Avenir Heavy" w:hAnsi="Avenir Heavy"/>
          <w:sz w:val="20"/>
          <w:szCs w:val="20"/>
          <w:rtl w:val="0"/>
          <w:lang w:val="en-US"/>
        </w:rPr>
        <w:t>Sep 2013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Luxoft, Ukraine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Project Coordinator / Senior Software Engineer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Managed corporate graduate programme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Created proof of concepts for existing and new customers, including Deutsche Bank and ING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 xml:space="preserve">Feb 2010 </w:t>
      </w:r>
      <w:r>
        <w:rPr>
          <w:rFonts w:ascii="Avenir Heavy" w:hAnsi="Avenir Heavy" w:hint="default"/>
          <w:sz w:val="20"/>
          <w:szCs w:val="20"/>
          <w:rtl w:val="0"/>
          <w:lang w:val="en-US"/>
        </w:rPr>
        <w:t xml:space="preserve">– </w:t>
      </w:r>
      <w:r>
        <w:rPr>
          <w:rFonts w:ascii="Avenir Heavy" w:hAnsi="Avenir Heavy"/>
          <w:sz w:val="20"/>
          <w:szCs w:val="20"/>
          <w:rtl w:val="0"/>
          <w:lang w:val="en-US"/>
        </w:rPr>
        <w:t>Jan 2012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EPAM, Ukraine / Clarabridge</w:t>
      </w:r>
    </w:p>
    <w:p>
      <w:pPr>
        <w:pStyle w:val="Body"/>
        <w:jc w:val="left"/>
        <w:rPr>
          <w:rFonts w:ascii="Avenir Heavy" w:cs="Avenir Heavy" w:hAnsi="Avenir Heavy" w:eastAsia="Avenir Heavy"/>
          <w:sz w:val="20"/>
          <w:szCs w:val="20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Software Engineer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 xml:space="preserve">Added PostgreSQL support to </w: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instrText xml:space="preserve"> HYPERLINK "https://www.clarabridge.com/"</w:instrTex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en-US"/>
        </w:rPr>
        <w:t>Clarabridge</w:t>
      </w:r>
      <w:r>
        <w:rPr>
          <w:rFonts w:ascii="Avenir Book" w:cs="Avenir Book" w:hAnsi="Avenir Book" w:eastAsia="Avenir Book"/>
          <w:sz w:val="20"/>
          <w:szCs w:val="20"/>
        </w:rPr>
        <w:fldChar w:fldCharType="end" w:fldLock="0"/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platform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Created GWT wrappers for HighCharts and InfoVis javascript libraries</w:t>
      </w:r>
    </w:p>
    <w:p>
      <w:pPr>
        <w:pStyle w:val="Body"/>
        <w:numPr>
          <w:ilvl w:val="0"/>
          <w:numId w:val="2"/>
        </w:numPr>
        <w:jc w:val="left"/>
        <w:rPr>
          <w:rFonts w:ascii="Avenir Book" w:hAnsi="Avenir Book"/>
          <w:sz w:val="20"/>
          <w:szCs w:val="20"/>
          <w:lang w:val="en-US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 xml:space="preserve">Implemented </w:t>
      </w:r>
      <w:r>
        <w:rPr>
          <w:rFonts w:ascii="Avenir Book" w:hAnsi="Avenir Book"/>
          <w:sz w:val="20"/>
          <w:szCs w:val="20"/>
          <w:rtl w:val="0"/>
        </w:rPr>
        <w:t xml:space="preserve">Clarabridge </w:t>
      </w:r>
      <w:r>
        <w:rPr>
          <w:rFonts w:ascii="Avenir Book" w:hAnsi="Avenir Book"/>
          <w:sz w:val="20"/>
          <w:szCs w:val="20"/>
          <w:rtl w:val="0"/>
          <w:lang w:val="en-US"/>
        </w:rPr>
        <w:t>license management framework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a9a9a9" w:sz="8" w:space="0" w:shadow="0" w:frame="0"/>
          <w:right w:val="nil"/>
        </w:pBdr>
        <w:jc w:val="left"/>
        <w:rPr>
          <w:rFonts w:ascii="Avenir Book" w:cs="Avenir Book" w:hAnsi="Avenir Book" w:eastAsia="Avenir Book"/>
          <w:outline w:val="0"/>
          <w:color w:val="941100"/>
          <w:sz w:val="26"/>
          <w:szCs w:val="26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sz w:val="26"/>
          <w:szCs w:val="26"/>
          <w:rtl w:val="0"/>
          <w:lang w:val="en-US"/>
          <w14:textFill>
            <w14:solidFill>
              <w14:srgbClr w14:val="941100"/>
            </w14:solidFill>
          </w14:textFill>
        </w:rPr>
        <w:t>Education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 xml:space="preserve">Nov 2012 </w:t>
        <w:tab/>
      </w:r>
      <w:r>
        <w:rPr>
          <w:rFonts w:ascii="Avenir Heavy" w:hAnsi="Avenir Heavy"/>
          <w:outline w:val="0"/>
          <w:color w:val="521b92"/>
          <w:sz w:val="20"/>
          <w:szCs w:val="20"/>
          <w:rtl w:val="0"/>
          <w:lang w:val="en-US"/>
          <w14:textFill>
            <w14:solidFill>
              <w14:srgbClr w14:val="531B93"/>
            </w14:solidFill>
          </w14:textFill>
        </w:rPr>
        <w:t>PhD in Mathematics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cs="Avenir Book" w:hAnsi="Avenir Book" w:eastAsia="Avenir Book"/>
          <w:sz w:val="20"/>
          <w:szCs w:val="20"/>
          <w:rtl w:val="0"/>
        </w:rPr>
        <w:tab/>
        <w:tab/>
        <w:t>Dnipropetrovsk National University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Supervisor</w:t>
        <w:tab/>
        <w:t>Peter Kogut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Thesis</w:t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Г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-convergence of vector-valued </w:t>
      </w:r>
      <w:r>
        <w:rPr>
          <w:rFonts w:ascii="Avenir Book" w:cs="Avenir Book" w:hAnsi="Avenir Book" w:eastAsia="Avenir Book"/>
          <w:sz w:val="20"/>
          <w:szCs w:val="20"/>
        </w:rPr>
        <w:tab/>
        <w:tab/>
        <w:tab/>
        <w:tab/>
      </w:r>
      <w:r>
        <w:rPr>
          <w:rFonts w:ascii="Avenir Book" w:hAnsi="Avenir Book"/>
          <w:sz w:val="20"/>
          <w:szCs w:val="20"/>
          <w:rtl w:val="0"/>
          <w:lang w:val="en-US"/>
        </w:rPr>
        <w:t>mappings and their l</w:t>
      </w:r>
      <w:r>
        <w:rPr>
          <w:rFonts w:ascii="Avenir Book" w:hAnsi="Avenir Book"/>
          <w:sz w:val="20"/>
          <w:szCs w:val="20"/>
          <w:rtl w:val="0"/>
          <w:lang w:val="en-US"/>
        </w:rPr>
        <w:t>.</w:t>
      </w:r>
      <w:r>
        <w:rPr>
          <w:rFonts w:ascii="Avenir Book" w:hAnsi="Avenir Book"/>
          <w:sz w:val="20"/>
          <w:szCs w:val="20"/>
          <w:rtl w:val="0"/>
        </w:rPr>
        <w:t>s</w:t>
      </w:r>
      <w:r>
        <w:rPr>
          <w:rFonts w:ascii="Avenir Book" w:hAnsi="Avenir Book"/>
          <w:sz w:val="20"/>
          <w:szCs w:val="20"/>
          <w:rtl w:val="0"/>
          <w:lang w:val="en-US"/>
        </w:rPr>
        <w:t>.</w:t>
      </w:r>
      <w:r>
        <w:rPr>
          <w:rFonts w:ascii="Avenir Book" w:hAnsi="Avenir Book"/>
          <w:sz w:val="20"/>
          <w:szCs w:val="20"/>
          <w:rtl w:val="0"/>
        </w:rPr>
        <w:t>c</w:t>
      </w:r>
      <w:r>
        <w:rPr>
          <w:rFonts w:ascii="Avenir Book" w:hAnsi="Avenir Book"/>
          <w:sz w:val="20"/>
          <w:szCs w:val="20"/>
          <w:rtl w:val="0"/>
          <w:lang w:val="en-US"/>
        </w:rPr>
        <w:t>.</w:t>
      </w:r>
      <w:r>
        <w:rPr>
          <w:rFonts w:ascii="Avenir Book" w:hAnsi="Avenir Book"/>
          <w:sz w:val="20"/>
          <w:szCs w:val="20"/>
          <w:rtl w:val="0"/>
        </w:rPr>
        <w:t xml:space="preserve"> </w:t>
      </w:r>
      <w:r>
        <w:rPr>
          <w:rFonts w:ascii="Avenir Book" w:cs="Avenir Book" w:hAnsi="Avenir Book" w:eastAsia="Avenir Book"/>
          <w:sz w:val="20"/>
          <w:szCs w:val="20"/>
        </w:rPr>
        <w:tab/>
        <w:tab/>
        <w:tab/>
        <w:tab/>
      </w:r>
      <w:r>
        <w:rPr>
          <w:rFonts w:ascii="Avenir Book" w:hAnsi="Avenir Book"/>
          <w:sz w:val="20"/>
          <w:szCs w:val="20"/>
          <w:rtl w:val="0"/>
          <w:lang w:val="fr-FR"/>
        </w:rPr>
        <w:t>regularisation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Sep 2009</w:t>
        <w:tab/>
        <w:t>MSc in Mathematics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cs="Avenir Book" w:hAnsi="Avenir Book" w:eastAsia="Avenir Book"/>
          <w:sz w:val="20"/>
          <w:szCs w:val="20"/>
        </w:rPr>
        <w:tab/>
        <w:tab/>
      </w:r>
      <w:r>
        <w:rPr>
          <w:rFonts w:ascii="Avenir Book" w:hAnsi="Avenir Book"/>
          <w:sz w:val="20"/>
          <w:szCs w:val="20"/>
          <w:rtl w:val="0"/>
        </w:rPr>
        <w:t>Dnipropetrovsk National University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Supervisor</w:t>
      </w:r>
      <w:r>
        <w:rPr>
          <w:rFonts w:ascii="Avenir Book" w:cs="Avenir Book" w:hAnsi="Avenir Book" w:eastAsia="Avenir Book"/>
          <w:sz w:val="20"/>
          <w:szCs w:val="20"/>
          <w:rtl w:val="0"/>
        </w:rPr>
        <w:tab/>
        <w:t>Peter Kogut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n-US"/>
        </w:rPr>
        <w:t>Thesis</w:t>
        <w:tab/>
        <w:tab/>
      </w:r>
      <w:r>
        <w:rPr>
          <w:rFonts w:ascii="Avenir Book" w:hAnsi="Avenir Book"/>
          <w:sz w:val="20"/>
          <w:szCs w:val="20"/>
          <w:rtl w:val="0"/>
          <w:lang w:val="it-IT"/>
        </w:rPr>
        <w:t>Quasi-l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.s.c </w:t>
      </w:r>
      <w:r>
        <w:rPr>
          <w:rFonts w:ascii="Avenir Book" w:hAnsi="Avenir Book"/>
          <w:sz w:val="20"/>
          <w:szCs w:val="20"/>
          <w:rtl w:val="0"/>
          <w:lang w:val="en-US"/>
        </w:rPr>
        <w:t>regularisation of vector-</w:t>
      </w:r>
      <w:r>
        <w:rPr>
          <w:rFonts w:ascii="Avenir Book" w:cs="Avenir Book" w:hAnsi="Avenir Book" w:eastAsia="Avenir Book"/>
          <w:sz w:val="20"/>
          <w:szCs w:val="20"/>
        </w:rPr>
        <w:tab/>
        <w:tab/>
        <w:tab/>
      </w:r>
      <w:r>
        <w:rPr>
          <w:rFonts w:ascii="Avenir Book" w:hAnsi="Avenir Book"/>
          <w:sz w:val="20"/>
          <w:szCs w:val="20"/>
          <w:rtl w:val="0"/>
          <w:lang w:val="en-US"/>
        </w:rPr>
        <w:t>valued mappings and its applications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a9a9a9" w:sz="4" w:space="0" w:shadow="0" w:frame="0"/>
          <w:right w:val="nil"/>
        </w:pBdr>
        <w:jc w:val="left"/>
        <w:rPr>
          <w:rFonts w:ascii="Avenir Book" w:cs="Avenir Book" w:hAnsi="Avenir Book" w:eastAsia="Avenir Book"/>
          <w:outline w:val="0"/>
          <w:color w:val="941100"/>
          <w:sz w:val="26"/>
          <w:szCs w:val="26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sz w:val="26"/>
          <w:szCs w:val="26"/>
          <w:rtl w:val="0"/>
          <w:lang w:val="en-US"/>
          <w14:textFill>
            <w14:solidFill>
              <w14:srgbClr w14:val="941100"/>
            </w14:solidFill>
          </w14:textFill>
        </w:rPr>
        <w:t>Certificates</w:t>
      </w:r>
    </w:p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tbl>
      <w:tblPr>
        <w:tblW w:w="49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5"/>
        <w:gridCol w:w="3621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13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IBF SG, 2017</w:t>
            </w:r>
          </w:p>
        </w:tc>
        <w:tc>
          <w:tcPr>
            <w:tcW w:type="dxa" w:w="3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Financial Markets Regulatory &amp; Practice [FMRP]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13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Oracle, 2012</w:t>
            </w:r>
          </w:p>
        </w:tc>
        <w:tc>
          <w:tcPr>
            <w:tcW w:type="dxa" w:w="3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Oracle Certified Expert, Java Platform, EE 6 Web Component Developer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13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Oracle, 2012</w:t>
            </w:r>
          </w:p>
        </w:tc>
        <w:tc>
          <w:tcPr>
            <w:tcW w:type="dxa" w:w="3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Avenir Book" w:hAnsi="Avenir Book"/>
                <w:sz w:val="20"/>
                <w:szCs w:val="20"/>
                <w:rtl w:val="0"/>
              </w:rPr>
              <w:t>Oracle Certified Professional, Java SE 6 Programmer</w:t>
            </w:r>
          </w:p>
        </w:tc>
      </w:tr>
    </w:tbl>
    <w:p>
      <w:pPr>
        <w:pStyle w:val="Body"/>
        <w:jc w:val="left"/>
        <w:rPr>
          <w:rFonts w:ascii="Avenir Book" w:cs="Avenir Book" w:hAnsi="Avenir Book" w:eastAsia="Avenir Book"/>
          <w:sz w:val="20"/>
          <w:szCs w:val="20"/>
        </w:rPr>
      </w:pPr>
    </w:p>
    <w:p>
      <w:pPr>
        <w:pStyle w:val="Body"/>
        <w:jc w:val="left"/>
        <w:rPr>
          <w:rFonts w:ascii="Avenir Book" w:cs="Avenir Book" w:hAnsi="Avenir Book" w:eastAsia="Avenir Book"/>
        </w:rPr>
      </w:pPr>
    </w:p>
    <w:p>
      <w:pPr>
        <w:pStyle w:val="Body"/>
        <w:pBdr>
          <w:top w:val="nil"/>
          <w:left w:val="nil"/>
          <w:bottom w:val="single" w:color="a9a9a9" w:sz="8" w:space="0" w:shadow="0" w:frame="0"/>
          <w:right w:val="nil"/>
        </w:pBdr>
        <w:jc w:val="left"/>
        <w:rPr>
          <w:rFonts w:ascii="Avenir Book" w:cs="Avenir Book" w:hAnsi="Avenir Book" w:eastAsia="Avenir Book"/>
          <w:outline w:val="0"/>
          <w:color w:val="941100"/>
          <w:sz w:val="26"/>
          <w:szCs w:val="26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sz w:val="26"/>
          <w:szCs w:val="26"/>
          <w:rtl w:val="0"/>
          <w:lang w:val="en-US"/>
          <w14:textFill>
            <w14:solidFill>
              <w14:srgbClr w14:val="941100"/>
            </w14:solidFill>
          </w14:textFill>
        </w:rPr>
        <w:t>Key Skills</w:t>
      </w:r>
    </w:p>
    <w:tbl>
      <w:tblPr>
        <w:tblW w:w="49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6"/>
        <w:gridCol w:w="3570"/>
      </w:tblGrid>
      <w:tr>
        <w:tblPrEx>
          <w:shd w:val="clear" w:color="auto" w:fill="auto"/>
        </w:tblPrEx>
        <w:trPr>
          <w:trHeight w:val="1680" w:hRule="atLeast"/>
        </w:trPr>
        <w:tc>
          <w:tcPr>
            <w:tcW w:type="dxa" w:w="13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 xml:space="preserve">Domain </w:t>
            </w:r>
          </w:p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>knowledge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Book" w:hAnsi="Avenir Book"/>
                <w:outline w:val="0"/>
                <w:color w:val="521b92"/>
                <w:rtl w:val="0"/>
                <w14:textFill>
                  <w14:solidFill>
                    <w14:srgbClr w14:val="531B93"/>
                  </w14:solidFill>
                </w14:textFill>
              </w:rPr>
              <w:t>FX Spot pricing, hedging and execution; Algorithmic Trading; Statistics; Machine Learning; Risk Management; Client performance evaluation; Java Low Latency systems; KDB+ Tick systems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13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 xml:space="preserve">Programming </w:t>
            </w:r>
          </w:p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>Languages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Heavy" w:hAnsi="Avenir Heavy"/>
                <w:outline w:val="0"/>
                <w:color w:val="521b92"/>
                <w:rtl w:val="0"/>
                <w:lang w:val="en-US"/>
                <w14:textFill>
                  <w14:solidFill>
                    <w14:srgbClr w14:val="531B93"/>
                  </w14:solidFill>
                </w14:textFill>
              </w:rPr>
              <w:t>KDB+/Q, Java, Python</w:t>
            </w:r>
            <w:r>
              <w:rPr>
                <w:rFonts w:ascii="Avenir Book" w:hAnsi="Avenir Book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venir Book" w:hAnsi="Avenir Book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R, </w:t>
            </w:r>
            <w:r>
              <w:rPr>
                <w:rFonts w:ascii="Avenir Book" w:hAnsi="Avenir Book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SQL, JavaScript, OneTick</w:t>
            </w:r>
            <w:r>
              <w:rPr>
                <w:rFonts w:ascii="Avenir Book" w:hAnsi="Avenir Book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QL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9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>Databases</w:t>
            </w:r>
          </w:p>
        </w:tc>
        <w:tc>
          <w:tcPr>
            <w:tcW w:type="dxa" w:w="357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Book" w:hAnsi="Avenir Book"/>
                <w:rtl w:val="0"/>
              </w:rPr>
              <w:t>PostgreSQL, Oracle</w:t>
            </w:r>
          </w:p>
        </w:tc>
      </w:tr>
    </w:tbl>
    <w:p>
      <w:pPr>
        <w:pStyle w:val="Body"/>
        <w:jc w:val="left"/>
      </w:pPr>
    </w:p>
    <w:sectPr>
      <w:type w:val="continuous"/>
      <w:pgSz w:w="11906" w:h="16838" w:orient="portrait"/>
      <w:pgMar w:top="0" w:right="720" w:bottom="360" w:left="720" w:header="0" w:footer="0"/>
      <w:cols w:space="52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