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2095980309"/>
        <w:docPartObj>
          <w:docPartGallery w:val="Cover Pages"/>
          <w:docPartUnique/>
        </w:docPartObj>
      </w:sdtPr>
      <w:sdtContent>
        <w:p w14:paraId="4F8CCA57" w14:textId="151657C3" w:rsidR="00AC23A6" w:rsidRPr="00AC23A6" w:rsidRDefault="00AC23A6">
          <w:pPr>
            <w:rPr>
              <w:rFonts w:ascii="Times New Roman" w:hAnsi="Times New Roman" w:cs="Times New Roman"/>
            </w:rPr>
          </w:pPr>
          <w:r w:rsidRPr="00AC23A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73B4CB6" wp14:editId="0C916F8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17B7344" w14:textId="72836437" w:rsidR="00AC23A6" w:rsidRDefault="00000000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E2841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AC23A6">
                                      <w:rPr>
                                        <w:noProof/>
                                        <w:color w:val="0E2841" w:themeColor="text2"/>
                                      </w:rPr>
                                      <w:t>Anton Mishchenko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3B4C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417B7344" w14:textId="72836437" w:rsidR="00AC23A6" w:rsidRDefault="00000000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E2841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AC23A6">
                                <w:rPr>
                                  <w:noProof/>
                                  <w:color w:val="0E2841" w:themeColor="text2"/>
                                </w:rPr>
                                <w:t>Anton Mishchenko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C23A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ABDB15" wp14:editId="04AE9C8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635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21310E6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" fillcolor="#e97132 [3205]" stroked="f" strokeweight="1pt">
                    <w10:wrap anchorx="page" anchory="page"/>
                  </v:rect>
                </w:pict>
              </mc:Fallback>
            </mc:AlternateContent>
          </w:r>
        </w:p>
        <w:p w14:paraId="1DB0D94C" w14:textId="268B6E04" w:rsidR="00AC23A6" w:rsidRPr="00AC23A6" w:rsidRDefault="00C15F9C">
          <w:pPr>
            <w:rPr>
              <w:rFonts w:ascii="Times New Roman" w:hAnsi="Times New Roman" w:cs="Times New Roman"/>
            </w:rPr>
          </w:pPr>
          <w:r w:rsidRPr="00AC23A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8378FE" wp14:editId="2AE0B237">
                    <wp:simplePos x="0" y="0"/>
                    <wp:positionH relativeFrom="page">
                      <wp:posOffset>2959908</wp:posOffset>
                    </wp:positionH>
                    <wp:positionV relativeFrom="page">
                      <wp:posOffset>2801340</wp:posOffset>
                    </wp:positionV>
                    <wp:extent cx="3373934" cy="3789739"/>
                    <wp:effectExtent l="0" t="0" r="0" b="127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73934" cy="37897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E97132" w:themeColor="accent2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E820FEF" w14:textId="2669D88D" w:rsidR="00AC23A6" w:rsidRPr="004E45FE" w:rsidRDefault="0079237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E97132" w:themeColor="accent2"/>
                                        <w:sz w:val="72"/>
                                        <w:szCs w:val="144"/>
                                      </w:rPr>
                                    </w:pPr>
                                    <w:r w:rsidRPr="004E45FE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E97132" w:themeColor="accent2"/>
                                        <w:sz w:val="72"/>
                                        <w:szCs w:val="72"/>
                                      </w:rPr>
                                      <w:t xml:space="preserve">ANALYSIS OF </w:t>
                                    </w:r>
                                    <w:r w:rsidR="00A850E8" w:rsidRPr="004E45FE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E97132" w:themeColor="accent2"/>
                                        <w:sz w:val="72"/>
                                        <w:szCs w:val="72"/>
                                      </w:rPr>
                                      <w:t>HOUSEHOLD</w:t>
                                    </w:r>
                                    <w:r w:rsidRPr="004E45FE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E97132" w:themeColor="accent2"/>
                                        <w:sz w:val="72"/>
                                        <w:szCs w:val="72"/>
                                      </w:rPr>
                                      <w:t xml:space="preserve"> HEATING </w:t>
                                    </w:r>
                                    <w:r w:rsidR="003465F4" w:rsidRPr="004E45FE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E97132" w:themeColor="accent2"/>
                                        <w:sz w:val="72"/>
                                        <w:szCs w:val="72"/>
                                      </w:rPr>
                                      <w:t>DATA</w:t>
                                    </w:r>
                                    <w:r w:rsidR="00A850E8" w:rsidRPr="004E45FE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E97132" w:themeColor="accent2"/>
                                        <w:sz w:val="72"/>
                                        <w:szCs w:val="72"/>
                                      </w:rPr>
                                      <w:t xml:space="preserve"> FOR JUNE 2024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EAA10B2" w14:textId="06A519C1" w:rsidR="00AC23A6" w:rsidRDefault="0079237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June</w:t>
                                    </w:r>
                                    <w:r w:rsidR="00C15F9C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30</w:t>
                                    </w:r>
                                    <w:r w:rsidR="00C15F9C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8378FE" id="Text Box 265" o:spid="_x0000_s1027" type="#_x0000_t202" style="position:absolute;margin-left:233.05pt;margin-top:220.6pt;width:265.65pt;height:298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E97132" w:themeColor="accent2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E820FEF" w14:textId="2669D88D" w:rsidR="00AC23A6" w:rsidRPr="004E45FE" w:rsidRDefault="0079237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E97132" w:themeColor="accent2"/>
                                  <w:sz w:val="72"/>
                                  <w:szCs w:val="144"/>
                                </w:rPr>
                              </w:pPr>
                              <w:r w:rsidRPr="004E45F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E97132" w:themeColor="accent2"/>
                                  <w:sz w:val="72"/>
                                  <w:szCs w:val="72"/>
                                </w:rPr>
                                <w:t xml:space="preserve">ANALYSIS OF </w:t>
                              </w:r>
                              <w:r w:rsidR="00A850E8" w:rsidRPr="004E45F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E97132" w:themeColor="accent2"/>
                                  <w:sz w:val="72"/>
                                  <w:szCs w:val="72"/>
                                </w:rPr>
                                <w:t>HOUSEHOLD</w:t>
                              </w:r>
                              <w:r w:rsidRPr="004E45F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E97132" w:themeColor="accent2"/>
                                  <w:sz w:val="72"/>
                                  <w:szCs w:val="72"/>
                                </w:rPr>
                                <w:t xml:space="preserve"> HEATING </w:t>
                              </w:r>
                              <w:r w:rsidR="003465F4" w:rsidRPr="004E45F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E97132" w:themeColor="accent2"/>
                                  <w:sz w:val="72"/>
                                  <w:szCs w:val="72"/>
                                </w:rPr>
                                <w:t>DATA</w:t>
                              </w:r>
                              <w:r w:rsidR="00A850E8" w:rsidRPr="004E45F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E97132" w:themeColor="accent2"/>
                                  <w:sz w:val="72"/>
                                  <w:szCs w:val="72"/>
                                </w:rPr>
                                <w:t xml:space="preserve"> FOR JUNE 2024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E2841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EAA10B2" w14:textId="06A519C1" w:rsidR="00AC23A6" w:rsidRDefault="00792370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June</w:t>
                              </w:r>
                              <w:r w:rsidR="00C15F9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30</w:t>
                              </w:r>
                              <w:r w:rsidR="00C15F9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32"/>
                                </w:rPr>
                                <w:t>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83F56" w:rsidRPr="00AC23A6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69891F" wp14:editId="73E0B701">
                    <wp:simplePos x="0" y="0"/>
                    <wp:positionH relativeFrom="page">
                      <wp:posOffset>2796055</wp:posOffset>
                    </wp:positionH>
                    <wp:positionV relativeFrom="page">
                      <wp:posOffset>2669203</wp:posOffset>
                    </wp:positionV>
                    <wp:extent cx="3717290" cy="4625058"/>
                    <wp:effectExtent l="0" t="0" r="16510" b="23495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717290" cy="4625058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6C31F12" id="Rectangle 261" o:spid="_x0000_s1026" style="position:absolute;margin-left:220.15pt;margin-top:210.15pt;width:292.7pt;height:364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" filled="f" strokecolor="#737373 [1614]" strokeweight="1.25pt">
                    <w10:wrap anchorx="page" anchory="page"/>
                  </v:rect>
                </w:pict>
              </mc:Fallback>
            </mc:AlternateContent>
          </w:r>
          <w:r w:rsidR="00AC23A6" w:rsidRPr="00AC23A6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caps/>
          <w:color w:val="auto"/>
          <w:sz w:val="20"/>
          <w:szCs w:val="20"/>
        </w:rPr>
        <w:id w:val="-144838848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z w:val="21"/>
          <w:szCs w:val="21"/>
        </w:rPr>
      </w:sdtEndPr>
      <w:sdtContent>
        <w:p w14:paraId="7F11935A" w14:textId="04232F2F" w:rsidR="00D14DB2" w:rsidRDefault="00D14DB2">
          <w:pPr>
            <w:pStyle w:val="TOCHeading"/>
          </w:pPr>
          <w:r>
            <w:t>Contents</w:t>
          </w:r>
        </w:p>
        <w:p w14:paraId="5E34A4A6" w14:textId="24C8FBCB" w:rsidR="00CF4F85" w:rsidRDefault="00D14DB2">
          <w:pPr>
            <w:pStyle w:val="TOC1"/>
            <w:tabs>
              <w:tab w:val="right" w:leader="dot" w:pos="1007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70961" w:history="1">
            <w:r w:rsidR="00CF4F85" w:rsidRPr="00030E16">
              <w:rPr>
                <w:rStyle w:val="Hyperlink"/>
                <w:noProof/>
              </w:rPr>
              <w:t>Tables</w:t>
            </w:r>
            <w:r w:rsidR="00CF4F85">
              <w:rPr>
                <w:noProof/>
                <w:webHidden/>
              </w:rPr>
              <w:tab/>
            </w:r>
            <w:r w:rsidR="00CF4F85">
              <w:rPr>
                <w:noProof/>
                <w:webHidden/>
              </w:rPr>
              <w:fldChar w:fldCharType="begin"/>
            </w:r>
            <w:r w:rsidR="00CF4F85">
              <w:rPr>
                <w:noProof/>
                <w:webHidden/>
              </w:rPr>
              <w:instrText xml:space="preserve"> PAGEREF _Toc170670961 \h </w:instrText>
            </w:r>
            <w:r w:rsidR="00CF4F85">
              <w:rPr>
                <w:noProof/>
                <w:webHidden/>
              </w:rPr>
            </w:r>
            <w:r w:rsidR="00CF4F85">
              <w:rPr>
                <w:noProof/>
                <w:webHidden/>
              </w:rPr>
              <w:fldChar w:fldCharType="separate"/>
            </w:r>
            <w:r w:rsidR="00CF4F85">
              <w:rPr>
                <w:noProof/>
                <w:webHidden/>
              </w:rPr>
              <w:t>1</w:t>
            </w:r>
            <w:r w:rsidR="00CF4F85">
              <w:rPr>
                <w:noProof/>
                <w:webHidden/>
              </w:rPr>
              <w:fldChar w:fldCharType="end"/>
            </w:r>
          </w:hyperlink>
        </w:p>
        <w:p w14:paraId="249D59E9" w14:textId="56548210" w:rsidR="00CF4F85" w:rsidRDefault="00000000">
          <w:pPr>
            <w:pStyle w:val="TOC1"/>
            <w:tabs>
              <w:tab w:val="right" w:leader="dot" w:pos="1007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670962" w:history="1">
            <w:r w:rsidR="00CF4F85" w:rsidRPr="00030E16">
              <w:rPr>
                <w:rStyle w:val="Hyperlink"/>
                <w:noProof/>
              </w:rPr>
              <w:t>Background</w:t>
            </w:r>
            <w:r w:rsidR="00CF4F85">
              <w:rPr>
                <w:noProof/>
                <w:webHidden/>
              </w:rPr>
              <w:tab/>
            </w:r>
            <w:r w:rsidR="00CF4F85">
              <w:rPr>
                <w:noProof/>
                <w:webHidden/>
              </w:rPr>
              <w:fldChar w:fldCharType="begin"/>
            </w:r>
            <w:r w:rsidR="00CF4F85">
              <w:rPr>
                <w:noProof/>
                <w:webHidden/>
              </w:rPr>
              <w:instrText xml:space="preserve"> PAGEREF _Toc170670962 \h </w:instrText>
            </w:r>
            <w:r w:rsidR="00CF4F85">
              <w:rPr>
                <w:noProof/>
                <w:webHidden/>
              </w:rPr>
            </w:r>
            <w:r w:rsidR="00CF4F85">
              <w:rPr>
                <w:noProof/>
                <w:webHidden/>
              </w:rPr>
              <w:fldChar w:fldCharType="separate"/>
            </w:r>
            <w:r w:rsidR="00CF4F85">
              <w:rPr>
                <w:noProof/>
                <w:webHidden/>
              </w:rPr>
              <w:t>2</w:t>
            </w:r>
            <w:r w:rsidR="00CF4F85">
              <w:rPr>
                <w:noProof/>
                <w:webHidden/>
              </w:rPr>
              <w:fldChar w:fldCharType="end"/>
            </w:r>
          </w:hyperlink>
        </w:p>
        <w:p w14:paraId="438EFECF" w14:textId="17B73212" w:rsidR="00CF4F85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670963" w:history="1">
            <w:r w:rsidR="00CF4F85" w:rsidRPr="00030E16">
              <w:rPr>
                <w:rStyle w:val="Hyperlink"/>
                <w:noProof/>
              </w:rPr>
              <w:t>Yearly space heating expenditure</w:t>
            </w:r>
            <w:r w:rsidR="00CF4F85">
              <w:rPr>
                <w:noProof/>
                <w:webHidden/>
              </w:rPr>
              <w:tab/>
            </w:r>
            <w:r w:rsidR="00CF4F85">
              <w:rPr>
                <w:noProof/>
                <w:webHidden/>
              </w:rPr>
              <w:fldChar w:fldCharType="begin"/>
            </w:r>
            <w:r w:rsidR="00CF4F85">
              <w:rPr>
                <w:noProof/>
                <w:webHidden/>
              </w:rPr>
              <w:instrText xml:space="preserve"> PAGEREF _Toc170670963 \h </w:instrText>
            </w:r>
            <w:r w:rsidR="00CF4F85">
              <w:rPr>
                <w:noProof/>
                <w:webHidden/>
              </w:rPr>
            </w:r>
            <w:r w:rsidR="00CF4F85">
              <w:rPr>
                <w:noProof/>
                <w:webHidden/>
              </w:rPr>
              <w:fldChar w:fldCharType="separate"/>
            </w:r>
            <w:r w:rsidR="00CF4F85">
              <w:rPr>
                <w:noProof/>
                <w:webHidden/>
              </w:rPr>
              <w:t>2</w:t>
            </w:r>
            <w:r w:rsidR="00CF4F85">
              <w:rPr>
                <w:noProof/>
                <w:webHidden/>
              </w:rPr>
              <w:fldChar w:fldCharType="end"/>
            </w:r>
          </w:hyperlink>
        </w:p>
        <w:p w14:paraId="5FD229C2" w14:textId="098F11B4" w:rsidR="00CF4F85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670964" w:history="1">
            <w:r w:rsidR="00CF4F85" w:rsidRPr="00030E16">
              <w:rPr>
                <w:rStyle w:val="Hyperlink"/>
                <w:noProof/>
              </w:rPr>
              <w:t>Yearly heat savings</w:t>
            </w:r>
            <w:r w:rsidR="00CF4F85">
              <w:rPr>
                <w:noProof/>
                <w:webHidden/>
              </w:rPr>
              <w:tab/>
            </w:r>
            <w:r w:rsidR="00CF4F85">
              <w:rPr>
                <w:noProof/>
                <w:webHidden/>
              </w:rPr>
              <w:fldChar w:fldCharType="begin"/>
            </w:r>
            <w:r w:rsidR="00CF4F85">
              <w:rPr>
                <w:noProof/>
                <w:webHidden/>
              </w:rPr>
              <w:instrText xml:space="preserve"> PAGEREF _Toc170670964 \h </w:instrText>
            </w:r>
            <w:r w:rsidR="00CF4F85">
              <w:rPr>
                <w:noProof/>
                <w:webHidden/>
              </w:rPr>
            </w:r>
            <w:r w:rsidR="00CF4F85">
              <w:rPr>
                <w:noProof/>
                <w:webHidden/>
              </w:rPr>
              <w:fldChar w:fldCharType="separate"/>
            </w:r>
            <w:r w:rsidR="00CF4F85">
              <w:rPr>
                <w:noProof/>
                <w:webHidden/>
              </w:rPr>
              <w:t>2</w:t>
            </w:r>
            <w:r w:rsidR="00CF4F85">
              <w:rPr>
                <w:noProof/>
                <w:webHidden/>
              </w:rPr>
              <w:fldChar w:fldCharType="end"/>
            </w:r>
          </w:hyperlink>
        </w:p>
        <w:p w14:paraId="1C98DA29" w14:textId="02FEA194" w:rsidR="00CF4F85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670965" w:history="1">
            <w:r w:rsidR="00CF4F85" w:rsidRPr="00030E16">
              <w:rPr>
                <w:rStyle w:val="Hyperlink"/>
                <w:noProof/>
              </w:rPr>
              <w:t>Highest vs lowest household energy usage</w:t>
            </w:r>
            <w:r w:rsidR="00CF4F85">
              <w:rPr>
                <w:noProof/>
                <w:webHidden/>
              </w:rPr>
              <w:tab/>
            </w:r>
            <w:r w:rsidR="00CF4F85">
              <w:rPr>
                <w:noProof/>
                <w:webHidden/>
              </w:rPr>
              <w:fldChar w:fldCharType="begin"/>
            </w:r>
            <w:r w:rsidR="00CF4F85">
              <w:rPr>
                <w:noProof/>
                <w:webHidden/>
              </w:rPr>
              <w:instrText xml:space="preserve"> PAGEREF _Toc170670965 \h </w:instrText>
            </w:r>
            <w:r w:rsidR="00CF4F85">
              <w:rPr>
                <w:noProof/>
                <w:webHidden/>
              </w:rPr>
            </w:r>
            <w:r w:rsidR="00CF4F85">
              <w:rPr>
                <w:noProof/>
                <w:webHidden/>
              </w:rPr>
              <w:fldChar w:fldCharType="separate"/>
            </w:r>
            <w:r w:rsidR="00CF4F85">
              <w:rPr>
                <w:noProof/>
                <w:webHidden/>
              </w:rPr>
              <w:t>2</w:t>
            </w:r>
            <w:r w:rsidR="00CF4F85">
              <w:rPr>
                <w:noProof/>
                <w:webHidden/>
              </w:rPr>
              <w:fldChar w:fldCharType="end"/>
            </w:r>
          </w:hyperlink>
        </w:p>
        <w:p w14:paraId="2EF612D7" w14:textId="71762087" w:rsidR="00CF4F85" w:rsidRDefault="00000000">
          <w:pPr>
            <w:pStyle w:val="TOC2"/>
            <w:tabs>
              <w:tab w:val="right" w:leader="dot" w:pos="1007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0670966" w:history="1">
            <w:r w:rsidR="00CF4F85" w:rsidRPr="00030E16">
              <w:rPr>
                <w:rStyle w:val="Hyperlink"/>
                <w:noProof/>
              </w:rPr>
              <w:t>Furnace upgrade heat savings</w:t>
            </w:r>
            <w:r w:rsidR="00CF4F85">
              <w:rPr>
                <w:noProof/>
                <w:webHidden/>
              </w:rPr>
              <w:tab/>
            </w:r>
            <w:r w:rsidR="00CF4F85">
              <w:rPr>
                <w:noProof/>
                <w:webHidden/>
              </w:rPr>
              <w:fldChar w:fldCharType="begin"/>
            </w:r>
            <w:r w:rsidR="00CF4F85">
              <w:rPr>
                <w:noProof/>
                <w:webHidden/>
              </w:rPr>
              <w:instrText xml:space="preserve"> PAGEREF _Toc170670966 \h </w:instrText>
            </w:r>
            <w:r w:rsidR="00CF4F85">
              <w:rPr>
                <w:noProof/>
                <w:webHidden/>
              </w:rPr>
            </w:r>
            <w:r w:rsidR="00CF4F85">
              <w:rPr>
                <w:noProof/>
                <w:webHidden/>
              </w:rPr>
              <w:fldChar w:fldCharType="separate"/>
            </w:r>
            <w:r w:rsidR="00CF4F85">
              <w:rPr>
                <w:noProof/>
                <w:webHidden/>
              </w:rPr>
              <w:t>2</w:t>
            </w:r>
            <w:r w:rsidR="00CF4F85">
              <w:rPr>
                <w:noProof/>
                <w:webHidden/>
              </w:rPr>
              <w:fldChar w:fldCharType="end"/>
            </w:r>
          </w:hyperlink>
        </w:p>
        <w:p w14:paraId="32783743" w14:textId="367B6FEE" w:rsidR="00027DC5" w:rsidRPr="00CF4F85" w:rsidRDefault="00D14DB2" w:rsidP="00D14DB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5ED6F3" w14:textId="30EA958E" w:rsidR="004A3B8B" w:rsidRPr="00AC23A6" w:rsidRDefault="00D14DB2" w:rsidP="00D14D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15B813" w14:textId="7F2CF69A" w:rsidR="004A3B8B" w:rsidRPr="00D14DB2" w:rsidRDefault="00A850E8" w:rsidP="00D14DB2">
      <w:pPr>
        <w:pStyle w:val="Heading1"/>
      </w:pPr>
      <w:bookmarkStart w:id="0" w:name="_Toc170670962"/>
      <w:r>
        <w:lastRenderedPageBreak/>
        <w:t>Background</w:t>
      </w:r>
      <w:bookmarkEnd w:id="0"/>
    </w:p>
    <w:p w14:paraId="68466A04" w14:textId="12220A7C" w:rsidR="003465F4" w:rsidRPr="00AC23A6" w:rsidRDefault="004A3B8B" w:rsidP="00D14DB2">
      <w:r w:rsidRPr="00AC23A6">
        <w:t xml:space="preserve">The following </w:t>
      </w:r>
      <w:r w:rsidR="004E45FE">
        <w:t xml:space="preserve">report </w:t>
      </w:r>
      <w:r w:rsidR="00890E68">
        <w:t xml:space="preserve">document contains an analysis of </w:t>
      </w:r>
      <w:r w:rsidR="004E45FE">
        <w:t>annual</w:t>
      </w:r>
      <w:r w:rsidR="008A1C37">
        <w:t xml:space="preserve"> </w:t>
      </w:r>
      <w:r w:rsidR="00890E68">
        <w:t xml:space="preserve">heating data for households in the month of June 2024. Cost calculations are done using </w:t>
      </w:r>
      <w:r w:rsidR="00890E68" w:rsidRPr="00890E68">
        <w:t>2024 Natural Gas Regulated Rates in $/GJ</w:t>
      </w:r>
      <w:r w:rsidR="00890E68">
        <w:t xml:space="preserve"> for the month of June at a rate of </w:t>
      </w:r>
      <w:r w:rsidR="0049507F">
        <w:t>$</w:t>
      </w:r>
      <w:r w:rsidR="00890E68" w:rsidRPr="00890E68">
        <w:t>1.05</w:t>
      </w:r>
      <w:r w:rsidR="004E45FE">
        <w:t xml:space="preserve"> per gigajoule</w:t>
      </w:r>
      <w:r w:rsidR="00890E68">
        <w:t>.</w:t>
      </w:r>
    </w:p>
    <w:p w14:paraId="705E13DC" w14:textId="77777777" w:rsidR="004A3B8B" w:rsidRPr="00AC23A6" w:rsidRDefault="004A3B8B" w:rsidP="004A3B8B">
      <w:pPr>
        <w:rPr>
          <w:rFonts w:ascii="Times New Roman" w:hAnsi="Times New Roman" w:cs="Times New Roman"/>
        </w:rPr>
      </w:pPr>
    </w:p>
    <w:p w14:paraId="642CDB27" w14:textId="0FBE92EB" w:rsidR="004A3B8B" w:rsidRPr="00D14DB2" w:rsidRDefault="00792370" w:rsidP="00D14DB2">
      <w:pPr>
        <w:pStyle w:val="Heading2"/>
      </w:pPr>
      <w:bookmarkStart w:id="1" w:name="_Toc170670963"/>
      <w:r>
        <w:t xml:space="preserve">Yearly </w:t>
      </w:r>
      <w:r w:rsidR="00A850E8">
        <w:t>s</w:t>
      </w:r>
      <w:r>
        <w:t xml:space="preserve">pace </w:t>
      </w:r>
      <w:r w:rsidR="00A850E8">
        <w:t>heating</w:t>
      </w:r>
      <w:r>
        <w:t xml:space="preserve"> </w:t>
      </w:r>
      <w:r w:rsidR="00A850E8">
        <w:t>expenditure</w:t>
      </w:r>
      <w:bookmarkEnd w:id="1"/>
    </w:p>
    <w:p w14:paraId="120861AD" w14:textId="19DCE57E" w:rsidR="004A3B8B" w:rsidRDefault="008A1C37" w:rsidP="00D14DB2">
      <w:pPr>
        <w:rPr>
          <w:i/>
          <w:iCs/>
        </w:rPr>
      </w:pPr>
      <w:r>
        <w:t>C</w:t>
      </w:r>
      <w:r w:rsidR="007B0724" w:rsidRPr="007B0724">
        <w:t>urrently</w:t>
      </w:r>
      <w:r>
        <w:t>,</w:t>
      </w:r>
      <w:r w:rsidR="007B0724" w:rsidRPr="007B0724">
        <w:t xml:space="preserve"> </w:t>
      </w:r>
      <w:r>
        <w:t xml:space="preserve">space heating costs are estimated </w:t>
      </w:r>
      <w:r w:rsidR="007947C9">
        <w:t>at</w:t>
      </w:r>
      <w:r>
        <w:t xml:space="preserve"> $</w:t>
      </w:r>
      <w:r w:rsidR="007B0724" w:rsidRPr="007B0724">
        <w:t>2,274</w:t>
      </w:r>
      <w:r>
        <w:t xml:space="preserve">, assuming </w:t>
      </w:r>
      <w:r w:rsidR="007947C9">
        <w:t xml:space="preserve">a </w:t>
      </w:r>
      <w:r>
        <w:t>constant rate of $</w:t>
      </w:r>
      <w:r w:rsidRPr="00890E68">
        <w:t>1.05</w:t>
      </w:r>
      <w:r>
        <w:t xml:space="preserve"> per GJ.</w:t>
      </w:r>
      <w:r w:rsidR="007947C9">
        <w:t xml:space="preserve"> Space heating accounts for the largest area of expenditure per average household. </w:t>
      </w:r>
      <w:r w:rsidR="007947C9" w:rsidRPr="007947C9">
        <w:rPr>
          <w:i/>
          <w:iCs/>
        </w:rPr>
        <w:t xml:space="preserve">(See the </w:t>
      </w:r>
      <w:r w:rsidR="00660C2C">
        <w:rPr>
          <w:b/>
          <w:bCs/>
          <w:i/>
          <w:iCs/>
        </w:rPr>
        <w:t>C</w:t>
      </w:r>
      <w:r w:rsidR="007947C9" w:rsidRPr="00660C2C">
        <w:rPr>
          <w:b/>
          <w:bCs/>
          <w:i/>
          <w:iCs/>
        </w:rPr>
        <w:t>hart</w:t>
      </w:r>
      <w:r w:rsidR="00660C2C" w:rsidRPr="00660C2C">
        <w:rPr>
          <w:b/>
          <w:bCs/>
          <w:i/>
          <w:iCs/>
        </w:rPr>
        <w:t xml:space="preserve"> 1</w:t>
      </w:r>
      <w:r w:rsidR="007947C9" w:rsidRPr="007947C9">
        <w:rPr>
          <w:i/>
          <w:iCs/>
        </w:rPr>
        <w:t xml:space="preserve"> below for details.)</w:t>
      </w:r>
    </w:p>
    <w:p w14:paraId="558BD14A" w14:textId="77777777" w:rsidR="007947C9" w:rsidRPr="007947C9" w:rsidRDefault="007947C9" w:rsidP="00D14DB2"/>
    <w:p w14:paraId="152AA24F" w14:textId="023B9F1F" w:rsidR="004A3B8B" w:rsidRDefault="00CF4F85" w:rsidP="007947C9">
      <w:pPr>
        <w:jc w:val="center"/>
        <w:rPr>
          <w:rFonts w:ascii="Times New Roman" w:hAnsi="Times New Roman" w:cs="Times New Roman"/>
        </w:rPr>
      </w:pPr>
      <w:r w:rsidRPr="00F74D90">
        <w:rPr>
          <w:noProof/>
        </w:rPr>
        <w:drawing>
          <wp:inline distT="0" distB="0" distL="0" distR="0" wp14:anchorId="44540AF4" wp14:editId="309C72C9">
            <wp:extent cx="4883150" cy="4869585"/>
            <wp:effectExtent l="0" t="0" r="0" b="7620"/>
            <wp:docPr id="98032022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38786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160" cy="49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C22E" w14:textId="57A95CA4" w:rsidR="00D36548" w:rsidRDefault="00D36548" w:rsidP="00D36548">
      <w:pPr>
        <w:pStyle w:val="Caption"/>
        <w:jc w:val="center"/>
      </w:pPr>
      <w:r w:rsidRPr="00D36548">
        <w:rPr>
          <w:color w:val="E97132" w:themeColor="accent2"/>
        </w:rPr>
        <w:t>Chart 1</w:t>
      </w:r>
      <w:r>
        <w:tab/>
      </w:r>
      <w:r w:rsidRPr="000213D6">
        <w:rPr>
          <w:b w:val="0"/>
          <w:bCs w:val="0"/>
          <w:color w:val="80340D" w:themeColor="accent2" w:themeShade="80"/>
        </w:rPr>
        <w:t>Annual space heating costs for all houses.</w:t>
      </w:r>
    </w:p>
    <w:p w14:paraId="6F5C4F6D" w14:textId="4D5F3842" w:rsidR="007947C9" w:rsidRPr="00AC23A6" w:rsidRDefault="007947C9" w:rsidP="007947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697DA53" w14:textId="5058E35C" w:rsidR="004A3B8B" w:rsidRPr="00D14DB2" w:rsidRDefault="00792370" w:rsidP="00D14DB2">
      <w:pPr>
        <w:pStyle w:val="Heading2"/>
      </w:pPr>
      <w:bookmarkStart w:id="2" w:name="_Toc170670964"/>
      <w:r>
        <w:lastRenderedPageBreak/>
        <w:t xml:space="preserve">Yearly </w:t>
      </w:r>
      <w:r w:rsidR="00A850E8">
        <w:t>h</w:t>
      </w:r>
      <w:r>
        <w:t xml:space="preserve">eat </w:t>
      </w:r>
      <w:r w:rsidR="00A850E8">
        <w:t>s</w:t>
      </w:r>
      <w:r>
        <w:t>avings</w:t>
      </w:r>
      <w:bookmarkEnd w:id="2"/>
    </w:p>
    <w:p w14:paraId="6A9F8FFF" w14:textId="42690D26" w:rsidR="004A3B8B" w:rsidRDefault="001F3B81" w:rsidP="00D14DB2">
      <w:pPr>
        <w:rPr>
          <w:i/>
          <w:iCs/>
        </w:rPr>
      </w:pPr>
      <w:r>
        <w:t xml:space="preserve">Yearly savings following a furnace upgrade in all </w:t>
      </w:r>
      <w:r w:rsidR="00AD7A98">
        <w:t>households</w:t>
      </w:r>
      <w:r>
        <w:t xml:space="preserve"> are estimated at $</w:t>
      </w:r>
      <w:r w:rsidRPr="007B0724">
        <w:t>2,655</w:t>
      </w:r>
      <w:r w:rsidR="00AD7A98">
        <w:t>,</w:t>
      </w:r>
      <w:r>
        <w:t xml:space="preserve"> with the highest savings </w:t>
      </w:r>
      <w:r w:rsidR="004E45FE">
        <w:t xml:space="preserve">being in the space heating metrics at 51.8%. </w:t>
      </w:r>
      <w:r w:rsidR="004E45FE" w:rsidRPr="007947C9">
        <w:rPr>
          <w:i/>
          <w:iCs/>
        </w:rPr>
        <w:t xml:space="preserve">(See the </w:t>
      </w:r>
      <w:r w:rsidR="00660C2C">
        <w:rPr>
          <w:b/>
          <w:bCs/>
          <w:i/>
          <w:iCs/>
        </w:rPr>
        <w:t>C</w:t>
      </w:r>
      <w:r w:rsidR="004E45FE" w:rsidRPr="00660C2C">
        <w:rPr>
          <w:b/>
          <w:bCs/>
          <w:i/>
          <w:iCs/>
        </w:rPr>
        <w:t>hart</w:t>
      </w:r>
      <w:r w:rsidR="00660C2C" w:rsidRPr="00660C2C">
        <w:rPr>
          <w:b/>
          <w:bCs/>
          <w:i/>
          <w:iCs/>
        </w:rPr>
        <w:t xml:space="preserve"> 2</w:t>
      </w:r>
      <w:r w:rsidR="004E45FE" w:rsidRPr="007947C9">
        <w:rPr>
          <w:i/>
          <w:iCs/>
        </w:rPr>
        <w:t xml:space="preserve"> below for details.)</w:t>
      </w:r>
    </w:p>
    <w:p w14:paraId="4E8497DD" w14:textId="77777777" w:rsidR="00E3644D" w:rsidRPr="00AC23A6" w:rsidRDefault="00E3644D" w:rsidP="00D14DB2"/>
    <w:p w14:paraId="06640E6B" w14:textId="546AA8DD" w:rsidR="004A3B8B" w:rsidRDefault="00CF4F85" w:rsidP="001F3B81">
      <w:pPr>
        <w:jc w:val="center"/>
        <w:rPr>
          <w:rFonts w:ascii="Times New Roman" w:hAnsi="Times New Roman" w:cs="Times New Roman"/>
        </w:rPr>
      </w:pPr>
      <w:r w:rsidRPr="00F74D90">
        <w:rPr>
          <w:noProof/>
        </w:rPr>
        <w:drawing>
          <wp:inline distT="0" distB="0" distL="0" distR="0" wp14:anchorId="1ADD134F" wp14:editId="6BE5CB32">
            <wp:extent cx="6283320" cy="3702050"/>
            <wp:effectExtent l="0" t="0" r="3810" b="0"/>
            <wp:docPr id="1370025646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17928" name="Picture 1" descr="A graph of a number of peop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0891" cy="37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51F5" w14:textId="66A667D2" w:rsidR="000213D6" w:rsidRDefault="000213D6" w:rsidP="000213D6">
      <w:pPr>
        <w:pStyle w:val="Caption"/>
        <w:jc w:val="center"/>
        <w:rPr>
          <w:b w:val="0"/>
          <w:bCs w:val="0"/>
          <w:color w:val="80340D" w:themeColor="accent2" w:themeShade="80"/>
        </w:rPr>
      </w:pPr>
      <w:r w:rsidRPr="00D36548">
        <w:rPr>
          <w:color w:val="E97132" w:themeColor="accent2"/>
        </w:rPr>
        <w:t xml:space="preserve">Chart </w:t>
      </w:r>
      <w:r>
        <w:rPr>
          <w:color w:val="E97132" w:themeColor="accent2"/>
        </w:rPr>
        <w:t>2</w:t>
      </w:r>
      <w:r>
        <w:tab/>
      </w:r>
      <w:r w:rsidRPr="000213D6">
        <w:rPr>
          <w:b w:val="0"/>
          <w:bCs w:val="0"/>
          <w:color w:val="80340D" w:themeColor="accent2" w:themeShade="80"/>
        </w:rPr>
        <w:t xml:space="preserve">Annual </w:t>
      </w:r>
      <w:r w:rsidR="004B0D17">
        <w:rPr>
          <w:b w:val="0"/>
          <w:bCs w:val="0"/>
          <w:color w:val="80340D" w:themeColor="accent2" w:themeShade="80"/>
        </w:rPr>
        <w:t>heat cost savings</w:t>
      </w:r>
      <w:r w:rsidRPr="000213D6">
        <w:rPr>
          <w:b w:val="0"/>
          <w:bCs w:val="0"/>
          <w:color w:val="80340D" w:themeColor="accent2" w:themeShade="80"/>
        </w:rPr>
        <w:t xml:space="preserve"> for all houses</w:t>
      </w:r>
      <w:r w:rsidR="00E62ED3">
        <w:rPr>
          <w:b w:val="0"/>
          <w:bCs w:val="0"/>
          <w:color w:val="80340D" w:themeColor="accent2" w:themeShade="80"/>
        </w:rPr>
        <w:t xml:space="preserve"> and sources</w:t>
      </w:r>
      <w:r w:rsidRPr="000213D6">
        <w:rPr>
          <w:b w:val="0"/>
          <w:bCs w:val="0"/>
          <w:color w:val="80340D" w:themeColor="accent2" w:themeShade="80"/>
        </w:rPr>
        <w:t>.</w:t>
      </w:r>
    </w:p>
    <w:p w14:paraId="57C21B7D" w14:textId="7C89C563" w:rsidR="000213D6" w:rsidRPr="000213D6" w:rsidRDefault="000213D6" w:rsidP="000213D6">
      <w:r>
        <w:br w:type="page"/>
      </w:r>
    </w:p>
    <w:p w14:paraId="4789DE1C" w14:textId="4A95378C" w:rsidR="004A3B8B" w:rsidRPr="00D14DB2" w:rsidRDefault="00792370" w:rsidP="00D14DB2">
      <w:pPr>
        <w:pStyle w:val="Heading2"/>
      </w:pPr>
      <w:bookmarkStart w:id="3" w:name="_Toc170670965"/>
      <w:r>
        <w:lastRenderedPageBreak/>
        <w:t>Highest vs lowest household energy usage</w:t>
      </w:r>
      <w:bookmarkEnd w:id="3"/>
    </w:p>
    <w:p w14:paraId="0F1ABDB4" w14:textId="5B6BC117" w:rsidR="004A3B8B" w:rsidRDefault="004E45FE" w:rsidP="00D14DB2">
      <w:pPr>
        <w:rPr>
          <w:i/>
          <w:iCs/>
        </w:rPr>
      </w:pPr>
      <w:r>
        <w:t xml:space="preserve">We can use the data to identify and compare the households' metrics with the highest estimated annual cost and the lowest. These households are #15 at $321 per year and #20 at $166 per year. </w:t>
      </w:r>
      <w:r w:rsidRPr="007947C9">
        <w:rPr>
          <w:i/>
          <w:iCs/>
        </w:rPr>
        <w:t xml:space="preserve">(See the </w:t>
      </w:r>
      <w:r w:rsidR="000E00FA">
        <w:rPr>
          <w:b/>
          <w:bCs/>
          <w:i/>
          <w:iCs/>
        </w:rPr>
        <w:t>C</w:t>
      </w:r>
      <w:r w:rsidRPr="000E00FA">
        <w:rPr>
          <w:b/>
          <w:bCs/>
          <w:i/>
          <w:iCs/>
        </w:rPr>
        <w:t>hart</w:t>
      </w:r>
      <w:r w:rsidRPr="000E00FA">
        <w:rPr>
          <w:b/>
          <w:bCs/>
          <w:i/>
          <w:iCs/>
        </w:rPr>
        <w:t>s</w:t>
      </w:r>
      <w:r w:rsidR="00F569D8">
        <w:rPr>
          <w:b/>
          <w:bCs/>
          <w:i/>
          <w:iCs/>
        </w:rPr>
        <w:t xml:space="preserve"> </w:t>
      </w:r>
      <w:r w:rsidR="00AF34C6">
        <w:rPr>
          <w:b/>
          <w:bCs/>
          <w:i/>
          <w:iCs/>
        </w:rPr>
        <w:t>3</w:t>
      </w:r>
      <w:r w:rsidR="00F569D8">
        <w:rPr>
          <w:b/>
          <w:bCs/>
          <w:i/>
          <w:iCs/>
        </w:rPr>
        <w:t xml:space="preserve"> </w:t>
      </w:r>
      <w:r w:rsidR="000E00FA">
        <w:rPr>
          <w:b/>
          <w:bCs/>
          <w:i/>
          <w:iCs/>
        </w:rPr>
        <w:t>-</w:t>
      </w:r>
      <w:r w:rsidR="00F569D8">
        <w:rPr>
          <w:b/>
          <w:bCs/>
          <w:i/>
          <w:iCs/>
        </w:rPr>
        <w:t xml:space="preserve"> </w:t>
      </w:r>
      <w:r w:rsidR="00AF34C6">
        <w:rPr>
          <w:b/>
          <w:bCs/>
          <w:i/>
          <w:iCs/>
        </w:rPr>
        <w:t>4</w:t>
      </w:r>
      <w:r w:rsidRPr="007947C9">
        <w:rPr>
          <w:i/>
          <w:iCs/>
        </w:rPr>
        <w:t xml:space="preserve"> below for details.)</w:t>
      </w:r>
    </w:p>
    <w:p w14:paraId="02FEA3B6" w14:textId="77777777" w:rsidR="00E3644D" w:rsidRPr="00AC23A6" w:rsidRDefault="00E3644D" w:rsidP="00D14DB2"/>
    <w:p w14:paraId="2384218B" w14:textId="424E2C71" w:rsidR="00D14DB2" w:rsidRDefault="00CF4F85" w:rsidP="001F3B81">
      <w:pPr>
        <w:jc w:val="center"/>
        <w:rPr>
          <w:rFonts w:ascii="Times New Roman" w:hAnsi="Times New Roman" w:cs="Times New Roman"/>
        </w:rPr>
      </w:pPr>
      <w:r w:rsidRPr="00F74D90">
        <w:rPr>
          <w:noProof/>
        </w:rPr>
        <w:drawing>
          <wp:inline distT="0" distB="0" distL="0" distR="0" wp14:anchorId="4C0BCC75" wp14:editId="2ADB62B3">
            <wp:extent cx="4692650" cy="2976668"/>
            <wp:effectExtent l="0" t="0" r="0" b="0"/>
            <wp:docPr id="24885605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74446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3745" cy="299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2E7F" w14:textId="3F8F0AD2" w:rsidR="000213D6" w:rsidRDefault="000213D6" w:rsidP="000213D6">
      <w:pPr>
        <w:pStyle w:val="Caption"/>
        <w:jc w:val="center"/>
        <w:rPr>
          <w:b w:val="0"/>
          <w:bCs w:val="0"/>
          <w:color w:val="80340D" w:themeColor="accent2" w:themeShade="80"/>
        </w:rPr>
      </w:pPr>
      <w:r w:rsidRPr="00D36548">
        <w:rPr>
          <w:color w:val="E97132" w:themeColor="accent2"/>
        </w:rPr>
        <w:t xml:space="preserve">Chart </w:t>
      </w:r>
      <w:r>
        <w:rPr>
          <w:color w:val="E97132" w:themeColor="accent2"/>
        </w:rPr>
        <w:t>3</w:t>
      </w:r>
      <w:r>
        <w:tab/>
      </w:r>
      <w:r w:rsidRPr="000213D6">
        <w:rPr>
          <w:b w:val="0"/>
          <w:bCs w:val="0"/>
          <w:color w:val="80340D" w:themeColor="accent2" w:themeShade="80"/>
        </w:rPr>
        <w:t xml:space="preserve">Annual </w:t>
      </w:r>
      <w:r w:rsidR="00A7606A">
        <w:rPr>
          <w:b w:val="0"/>
          <w:bCs w:val="0"/>
          <w:color w:val="80340D" w:themeColor="accent2" w:themeShade="80"/>
        </w:rPr>
        <w:t>heating</w:t>
      </w:r>
      <w:r w:rsidRPr="000213D6">
        <w:rPr>
          <w:b w:val="0"/>
          <w:bCs w:val="0"/>
          <w:color w:val="80340D" w:themeColor="accent2" w:themeShade="80"/>
        </w:rPr>
        <w:t xml:space="preserve"> costs for</w:t>
      </w:r>
      <w:r w:rsidR="00A7606A">
        <w:rPr>
          <w:b w:val="0"/>
          <w:bCs w:val="0"/>
          <w:color w:val="80340D" w:themeColor="accent2" w:themeShade="80"/>
        </w:rPr>
        <w:t xml:space="preserve"> </w:t>
      </w:r>
      <w:r w:rsidR="00B36D79">
        <w:rPr>
          <w:b w:val="0"/>
          <w:bCs w:val="0"/>
          <w:color w:val="80340D" w:themeColor="accent2" w:themeShade="80"/>
        </w:rPr>
        <w:t xml:space="preserve">the </w:t>
      </w:r>
      <w:r w:rsidR="00A7606A">
        <w:rPr>
          <w:b w:val="0"/>
          <w:bCs w:val="0"/>
          <w:color w:val="80340D" w:themeColor="accent2" w:themeShade="80"/>
        </w:rPr>
        <w:t xml:space="preserve">least </w:t>
      </w:r>
      <w:r w:rsidR="00B36D79">
        <w:rPr>
          <w:b w:val="0"/>
          <w:bCs w:val="0"/>
          <w:color w:val="80340D" w:themeColor="accent2" w:themeShade="80"/>
        </w:rPr>
        <w:t>energy-efficient household</w:t>
      </w:r>
      <w:r w:rsidRPr="000213D6">
        <w:rPr>
          <w:b w:val="0"/>
          <w:bCs w:val="0"/>
          <w:color w:val="80340D" w:themeColor="accent2" w:themeShade="80"/>
        </w:rPr>
        <w:t>.</w:t>
      </w:r>
    </w:p>
    <w:p w14:paraId="149512A4" w14:textId="77777777" w:rsidR="009F3D47" w:rsidRPr="009F3D47" w:rsidRDefault="009F3D47" w:rsidP="009F3D47"/>
    <w:p w14:paraId="23589C27" w14:textId="7B361CC5" w:rsidR="00CF4F85" w:rsidRDefault="00CF4F85" w:rsidP="001F3B81">
      <w:pPr>
        <w:jc w:val="center"/>
        <w:rPr>
          <w:rFonts w:ascii="Times New Roman" w:hAnsi="Times New Roman" w:cs="Times New Roman"/>
        </w:rPr>
      </w:pPr>
      <w:r w:rsidRPr="00F74D90">
        <w:rPr>
          <w:noProof/>
        </w:rPr>
        <w:drawing>
          <wp:inline distT="0" distB="0" distL="0" distR="0" wp14:anchorId="65FAAB79" wp14:editId="642426F9">
            <wp:extent cx="4794250" cy="3049200"/>
            <wp:effectExtent l="0" t="0" r="6350" b="0"/>
            <wp:docPr id="103450337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82449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493" cy="305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BE15" w14:textId="77916360" w:rsidR="000213D6" w:rsidRPr="009F3D47" w:rsidRDefault="000213D6" w:rsidP="009F3D47">
      <w:pPr>
        <w:pStyle w:val="Caption"/>
        <w:jc w:val="center"/>
      </w:pPr>
      <w:r w:rsidRPr="00D36548">
        <w:rPr>
          <w:color w:val="E97132" w:themeColor="accent2"/>
        </w:rPr>
        <w:t xml:space="preserve">Chart </w:t>
      </w:r>
      <w:r w:rsidR="001B74FC">
        <w:rPr>
          <w:color w:val="E97132" w:themeColor="accent2"/>
        </w:rPr>
        <w:t>4</w:t>
      </w:r>
      <w:r>
        <w:tab/>
      </w:r>
      <w:r w:rsidR="00A7606A" w:rsidRPr="000213D6">
        <w:rPr>
          <w:b w:val="0"/>
          <w:bCs w:val="0"/>
          <w:color w:val="80340D" w:themeColor="accent2" w:themeShade="80"/>
        </w:rPr>
        <w:t xml:space="preserve">Annual </w:t>
      </w:r>
      <w:r w:rsidR="00A7606A">
        <w:rPr>
          <w:b w:val="0"/>
          <w:bCs w:val="0"/>
          <w:color w:val="80340D" w:themeColor="accent2" w:themeShade="80"/>
        </w:rPr>
        <w:t>heating</w:t>
      </w:r>
      <w:r w:rsidR="00A7606A" w:rsidRPr="000213D6">
        <w:rPr>
          <w:b w:val="0"/>
          <w:bCs w:val="0"/>
          <w:color w:val="80340D" w:themeColor="accent2" w:themeShade="80"/>
        </w:rPr>
        <w:t xml:space="preserve"> costs for</w:t>
      </w:r>
      <w:r w:rsidR="00A7606A">
        <w:rPr>
          <w:b w:val="0"/>
          <w:bCs w:val="0"/>
          <w:color w:val="80340D" w:themeColor="accent2" w:themeShade="80"/>
        </w:rPr>
        <w:t xml:space="preserve"> </w:t>
      </w:r>
      <w:r w:rsidR="00B36D79">
        <w:rPr>
          <w:b w:val="0"/>
          <w:bCs w:val="0"/>
          <w:color w:val="80340D" w:themeColor="accent2" w:themeShade="80"/>
        </w:rPr>
        <w:t>the most energy-efficient household</w:t>
      </w:r>
      <w:r w:rsidRPr="000213D6">
        <w:rPr>
          <w:b w:val="0"/>
          <w:bCs w:val="0"/>
          <w:color w:val="80340D" w:themeColor="accent2" w:themeShade="80"/>
        </w:rPr>
        <w:t>.</w:t>
      </w:r>
    </w:p>
    <w:p w14:paraId="795C0F2B" w14:textId="0AC8C2E2" w:rsidR="004A3B8B" w:rsidRPr="00D14DB2" w:rsidRDefault="00A850E8" w:rsidP="00D14DB2">
      <w:pPr>
        <w:pStyle w:val="Heading2"/>
      </w:pPr>
      <w:bookmarkStart w:id="4" w:name="_Toc170670966"/>
      <w:r>
        <w:lastRenderedPageBreak/>
        <w:t>Furnace</w:t>
      </w:r>
      <w:r w:rsidR="00792370">
        <w:t xml:space="preserve"> upgrade heat savings</w:t>
      </w:r>
      <w:bookmarkEnd w:id="4"/>
    </w:p>
    <w:p w14:paraId="5BBEED4A" w14:textId="2FF3FA39" w:rsidR="004A3B8B" w:rsidRDefault="00D808A2" w:rsidP="00D14DB2">
      <w:pPr>
        <w:rPr>
          <w:i/>
          <w:iCs/>
        </w:rPr>
      </w:pPr>
      <w:r>
        <w:t>Five households that would benefit the most from furnace upgrades were identified. These</w:t>
      </w:r>
      <w:r w:rsidR="007B0724" w:rsidRPr="007B0724">
        <w:t xml:space="preserve"> houses </w:t>
      </w:r>
      <w:r>
        <w:t>collectively save $721 per year following a furnace upgrade. These houses are #</w:t>
      </w:r>
      <w:r w:rsidR="007B0724" w:rsidRPr="007B0724">
        <w:t>6,</w:t>
      </w:r>
      <w:r>
        <w:t xml:space="preserve"> #</w:t>
      </w:r>
      <w:r w:rsidR="007B0724" w:rsidRPr="007B0724">
        <w:t>15,</w:t>
      </w:r>
      <w:r>
        <w:t xml:space="preserve"> #</w:t>
      </w:r>
      <w:r w:rsidR="007B0724" w:rsidRPr="007B0724">
        <w:t>16,</w:t>
      </w:r>
      <w:r>
        <w:t xml:space="preserve"> #</w:t>
      </w:r>
      <w:r w:rsidR="007B0724" w:rsidRPr="007B0724">
        <w:t>18</w:t>
      </w:r>
      <w:r>
        <w:t xml:space="preserve"> and #</w:t>
      </w:r>
      <w:r w:rsidR="007B0724" w:rsidRPr="007B0724">
        <w:t>1</w:t>
      </w:r>
      <w:r w:rsidR="004A3B8B" w:rsidRPr="00AC23A6">
        <w:t>.</w:t>
      </w:r>
      <w:r w:rsidR="00F61C11" w:rsidRPr="00F61C11">
        <w:rPr>
          <w:i/>
          <w:iCs/>
        </w:rPr>
        <w:t xml:space="preserve"> </w:t>
      </w:r>
      <w:r w:rsidR="00F61C11" w:rsidRPr="007947C9">
        <w:rPr>
          <w:i/>
          <w:iCs/>
        </w:rPr>
        <w:t xml:space="preserve">(See the </w:t>
      </w:r>
      <w:r w:rsidR="004A78E4">
        <w:rPr>
          <w:b/>
          <w:bCs/>
          <w:i/>
          <w:iCs/>
        </w:rPr>
        <w:t>C</w:t>
      </w:r>
      <w:r w:rsidR="00F61C11" w:rsidRPr="004A78E4">
        <w:rPr>
          <w:b/>
          <w:bCs/>
          <w:i/>
          <w:iCs/>
        </w:rPr>
        <w:t>har</w:t>
      </w:r>
      <w:r w:rsidR="004A78E4">
        <w:rPr>
          <w:b/>
          <w:bCs/>
          <w:i/>
          <w:iCs/>
        </w:rPr>
        <w:t xml:space="preserve">t </w:t>
      </w:r>
      <w:r w:rsidR="00AF34C6">
        <w:rPr>
          <w:b/>
          <w:bCs/>
          <w:i/>
          <w:iCs/>
        </w:rPr>
        <w:t>5</w:t>
      </w:r>
      <w:r w:rsidR="00F61C11" w:rsidRPr="007947C9">
        <w:rPr>
          <w:i/>
          <w:iCs/>
        </w:rPr>
        <w:t xml:space="preserve"> below for details.)</w:t>
      </w:r>
    </w:p>
    <w:p w14:paraId="634E5E2F" w14:textId="77777777" w:rsidR="00E3644D" w:rsidRDefault="00E3644D" w:rsidP="00D14DB2"/>
    <w:p w14:paraId="0BC1F9F1" w14:textId="4CDC321D" w:rsidR="00CF4F85" w:rsidRDefault="00CF4F85" w:rsidP="001F3B81">
      <w:pPr>
        <w:jc w:val="center"/>
      </w:pPr>
      <w:r w:rsidRPr="00F74D90">
        <w:rPr>
          <w:noProof/>
        </w:rPr>
        <w:drawing>
          <wp:inline distT="0" distB="0" distL="0" distR="0" wp14:anchorId="240DA865" wp14:editId="72ACEFF1">
            <wp:extent cx="5754613" cy="3409950"/>
            <wp:effectExtent l="0" t="0" r="0" b="0"/>
            <wp:docPr id="82556059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71531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0288" cy="341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D528" w14:textId="12884737" w:rsidR="009F3D47" w:rsidRDefault="009F3D47" w:rsidP="009F3D47">
      <w:pPr>
        <w:pStyle w:val="Caption"/>
        <w:jc w:val="center"/>
      </w:pPr>
      <w:r w:rsidRPr="00D36548">
        <w:rPr>
          <w:color w:val="E97132" w:themeColor="accent2"/>
        </w:rPr>
        <w:t xml:space="preserve">Chart </w:t>
      </w:r>
      <w:r w:rsidR="00B17908">
        <w:rPr>
          <w:color w:val="E97132" w:themeColor="accent2"/>
        </w:rPr>
        <w:t>5</w:t>
      </w:r>
      <w:r>
        <w:tab/>
      </w:r>
      <w:r w:rsidRPr="000213D6">
        <w:rPr>
          <w:b w:val="0"/>
          <w:bCs w:val="0"/>
          <w:color w:val="80340D" w:themeColor="accent2" w:themeShade="80"/>
        </w:rPr>
        <w:t xml:space="preserve">Annual heating </w:t>
      </w:r>
      <w:r w:rsidR="00546EDD">
        <w:rPr>
          <w:b w:val="0"/>
          <w:bCs w:val="0"/>
          <w:color w:val="80340D" w:themeColor="accent2" w:themeShade="80"/>
        </w:rPr>
        <w:t>cost</w:t>
      </w:r>
      <w:r w:rsidRPr="000213D6">
        <w:rPr>
          <w:b w:val="0"/>
          <w:bCs w:val="0"/>
          <w:color w:val="80340D" w:themeColor="accent2" w:themeShade="80"/>
        </w:rPr>
        <w:t xml:space="preserve"> </w:t>
      </w:r>
      <w:r w:rsidR="00546EDD">
        <w:rPr>
          <w:b w:val="0"/>
          <w:bCs w:val="0"/>
          <w:color w:val="80340D" w:themeColor="accent2" w:themeShade="80"/>
        </w:rPr>
        <w:t xml:space="preserve">savings </w:t>
      </w:r>
      <w:r w:rsidRPr="000213D6">
        <w:rPr>
          <w:b w:val="0"/>
          <w:bCs w:val="0"/>
          <w:color w:val="80340D" w:themeColor="accent2" w:themeShade="80"/>
        </w:rPr>
        <w:t>for</w:t>
      </w:r>
      <w:r w:rsidR="00546EDD">
        <w:rPr>
          <w:b w:val="0"/>
          <w:bCs w:val="0"/>
          <w:color w:val="80340D" w:themeColor="accent2" w:themeShade="80"/>
        </w:rPr>
        <w:t xml:space="preserve"> the top five least energy-efficient households</w:t>
      </w:r>
      <w:r w:rsidRPr="000213D6">
        <w:rPr>
          <w:b w:val="0"/>
          <w:bCs w:val="0"/>
          <w:color w:val="80340D" w:themeColor="accent2" w:themeShade="80"/>
        </w:rPr>
        <w:t>.</w:t>
      </w:r>
    </w:p>
    <w:p w14:paraId="4D92515D" w14:textId="77777777" w:rsidR="009F3D47" w:rsidRPr="00CF4F85" w:rsidRDefault="009F3D47" w:rsidP="001F3B81">
      <w:pPr>
        <w:jc w:val="center"/>
      </w:pPr>
    </w:p>
    <w:sectPr w:rsidR="009F3D47" w:rsidRPr="00CF4F85" w:rsidSect="00AC23A6">
      <w:head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F1418" w14:textId="77777777" w:rsidR="00EB5F12" w:rsidRDefault="00EB5F12" w:rsidP="00AC23A6">
      <w:pPr>
        <w:spacing w:after="0" w:line="240" w:lineRule="auto"/>
      </w:pPr>
      <w:r>
        <w:separator/>
      </w:r>
    </w:p>
  </w:endnote>
  <w:endnote w:type="continuationSeparator" w:id="0">
    <w:p w14:paraId="00AE29BA" w14:textId="77777777" w:rsidR="00EB5F12" w:rsidRDefault="00EB5F12" w:rsidP="00AC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1093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C9BB2" w14:textId="47D286EC" w:rsidR="00AC23A6" w:rsidRDefault="00AC23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18D096" w14:textId="77777777" w:rsidR="00AC23A6" w:rsidRDefault="00AC23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D47B4" w14:textId="28784473" w:rsidR="00AC23A6" w:rsidRDefault="00AC23A6" w:rsidP="00AC23A6">
    <w:pPr>
      <w:pStyle w:val="Footer"/>
    </w:pPr>
  </w:p>
  <w:p w14:paraId="399A6546" w14:textId="77777777" w:rsidR="00AC23A6" w:rsidRDefault="00AC2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E87E3" w14:textId="77777777" w:rsidR="00EB5F12" w:rsidRDefault="00EB5F12" w:rsidP="00AC23A6">
      <w:pPr>
        <w:spacing w:after="0" w:line="240" w:lineRule="auto"/>
      </w:pPr>
      <w:r>
        <w:separator/>
      </w:r>
    </w:p>
  </w:footnote>
  <w:footnote w:type="continuationSeparator" w:id="0">
    <w:p w14:paraId="7338DFB1" w14:textId="77777777" w:rsidR="00EB5F12" w:rsidRDefault="00EB5F12" w:rsidP="00AC2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92E85" w14:textId="571FDCC2" w:rsidR="00C238BD" w:rsidRDefault="00000000">
    <w:pPr>
      <w:pStyle w:val="Header"/>
    </w:pPr>
    <w:r>
      <w:rPr>
        <w:noProof/>
      </w:rPr>
      <w:pict w14:anchorId="7C64D1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07594" o:spid="_x0000_s1036" type="#_x0000_t75" style="position:absolute;margin-left:0;margin-top:0;width:503.95pt;height:412.15pt;z-index:-251657216;mso-position-horizontal:center;mso-position-horizontal-relative:margin;mso-position-vertical:center;mso-position-vertical-relative:margin" o:allowincell="f">
          <v:imagedata r:id="rId1" o:title="NorQuest-Logo-RGB-Colour-Vertica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EC1D1" w14:textId="7FE0D5D3" w:rsidR="00C238BD" w:rsidRDefault="00000000">
    <w:pPr>
      <w:pStyle w:val="Header"/>
    </w:pPr>
    <w:r>
      <w:rPr>
        <w:noProof/>
      </w:rPr>
      <w:pict w14:anchorId="52064F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907593" o:spid="_x0000_s1038" type="#_x0000_t75" style="position:absolute;margin-left:0;margin-top:0;width:503.95pt;height:412.15pt;z-index:-251656192;mso-position-horizontal:center;mso-position-horizontal-relative:margin;mso-position-vertical:center;mso-position-vertical-relative:margin" o:allowincell="f">
          <v:imagedata r:id="rId1" o:title="NorQuest-Logo-RGB-Colour-Vertica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21776"/>
    <w:multiLevelType w:val="multilevel"/>
    <w:tmpl w:val="94AA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94514"/>
    <w:multiLevelType w:val="multilevel"/>
    <w:tmpl w:val="A30E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D0531"/>
    <w:multiLevelType w:val="multilevel"/>
    <w:tmpl w:val="B7142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4C1E6E"/>
    <w:multiLevelType w:val="multilevel"/>
    <w:tmpl w:val="4A8C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421883"/>
    <w:multiLevelType w:val="multilevel"/>
    <w:tmpl w:val="08B2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544919">
    <w:abstractNumId w:val="1"/>
  </w:num>
  <w:num w:numId="2" w16cid:durableId="1118330143">
    <w:abstractNumId w:val="0"/>
  </w:num>
  <w:num w:numId="3" w16cid:durableId="799610815">
    <w:abstractNumId w:val="4"/>
  </w:num>
  <w:num w:numId="4" w16cid:durableId="832180856">
    <w:abstractNumId w:val="3"/>
  </w:num>
  <w:num w:numId="5" w16cid:durableId="1876650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00"/>
    <w:rsid w:val="000213D6"/>
    <w:rsid w:val="00024E74"/>
    <w:rsid w:val="00025D05"/>
    <w:rsid w:val="00027DC5"/>
    <w:rsid w:val="000E00FA"/>
    <w:rsid w:val="00102C6C"/>
    <w:rsid w:val="00144D62"/>
    <w:rsid w:val="001B2C4C"/>
    <w:rsid w:val="001B74FC"/>
    <w:rsid w:val="001C2050"/>
    <w:rsid w:val="001C75CB"/>
    <w:rsid w:val="001D56FE"/>
    <w:rsid w:val="001F3B81"/>
    <w:rsid w:val="00210470"/>
    <w:rsid w:val="003405A7"/>
    <w:rsid w:val="003465F4"/>
    <w:rsid w:val="003B3026"/>
    <w:rsid w:val="003B7DBA"/>
    <w:rsid w:val="0041241C"/>
    <w:rsid w:val="0049507F"/>
    <w:rsid w:val="004A3B8B"/>
    <w:rsid w:val="004A78E4"/>
    <w:rsid w:val="004B0D17"/>
    <w:rsid w:val="004E45FE"/>
    <w:rsid w:val="00546EDD"/>
    <w:rsid w:val="00606CD0"/>
    <w:rsid w:val="00660C2C"/>
    <w:rsid w:val="006611DA"/>
    <w:rsid w:val="00674E00"/>
    <w:rsid w:val="006B0379"/>
    <w:rsid w:val="007413D8"/>
    <w:rsid w:val="00745507"/>
    <w:rsid w:val="00763E6A"/>
    <w:rsid w:val="00791B58"/>
    <w:rsid w:val="00792370"/>
    <w:rsid w:val="007947C9"/>
    <w:rsid w:val="007B0724"/>
    <w:rsid w:val="007C2FF7"/>
    <w:rsid w:val="007E58ED"/>
    <w:rsid w:val="00890E68"/>
    <w:rsid w:val="008A1C37"/>
    <w:rsid w:val="008F2A64"/>
    <w:rsid w:val="0099450F"/>
    <w:rsid w:val="009F3D47"/>
    <w:rsid w:val="00A7606A"/>
    <w:rsid w:val="00A850E8"/>
    <w:rsid w:val="00AC23A6"/>
    <w:rsid w:val="00AD7A98"/>
    <w:rsid w:val="00AF34C6"/>
    <w:rsid w:val="00B1461F"/>
    <w:rsid w:val="00B17908"/>
    <w:rsid w:val="00B21E5A"/>
    <w:rsid w:val="00B36D79"/>
    <w:rsid w:val="00B46C49"/>
    <w:rsid w:val="00B811A2"/>
    <w:rsid w:val="00B853F2"/>
    <w:rsid w:val="00B87E5F"/>
    <w:rsid w:val="00B91E61"/>
    <w:rsid w:val="00B95827"/>
    <w:rsid w:val="00BD361B"/>
    <w:rsid w:val="00C15F9C"/>
    <w:rsid w:val="00C238BD"/>
    <w:rsid w:val="00C627F9"/>
    <w:rsid w:val="00CF2514"/>
    <w:rsid w:val="00CF4F85"/>
    <w:rsid w:val="00D14DB2"/>
    <w:rsid w:val="00D36548"/>
    <w:rsid w:val="00D808A2"/>
    <w:rsid w:val="00DC5703"/>
    <w:rsid w:val="00E34B9E"/>
    <w:rsid w:val="00E3644D"/>
    <w:rsid w:val="00E62ED3"/>
    <w:rsid w:val="00E83F56"/>
    <w:rsid w:val="00EB5F12"/>
    <w:rsid w:val="00ED7892"/>
    <w:rsid w:val="00F00EE2"/>
    <w:rsid w:val="00F01CF5"/>
    <w:rsid w:val="00F200B8"/>
    <w:rsid w:val="00F569D8"/>
    <w:rsid w:val="00F61C11"/>
    <w:rsid w:val="00F7257B"/>
    <w:rsid w:val="00F74D90"/>
    <w:rsid w:val="00F9075F"/>
    <w:rsid w:val="00FF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F8C03C"/>
  <w15:chartTrackingRefBased/>
  <w15:docId w15:val="{7E9D02D9-F539-420A-8B63-27DDBEEC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5FE"/>
  </w:style>
  <w:style w:type="paragraph" w:styleId="Heading1">
    <w:name w:val="heading 1"/>
    <w:basedOn w:val="Normal"/>
    <w:next w:val="Normal"/>
    <w:link w:val="Heading1Char"/>
    <w:uiPriority w:val="9"/>
    <w:qFormat/>
    <w:rsid w:val="004E45FE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5F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5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5F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5F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5F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5F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5F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5F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5F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45FE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5FE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5FE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5FE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5FE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5FE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5FE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5FE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E45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E45F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5F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5FE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5F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45F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674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5FE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5FE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5FE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4E45FE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E45F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4E45FE"/>
    <w:rPr>
      <w:b/>
      <w:bCs/>
    </w:rPr>
  </w:style>
  <w:style w:type="character" w:styleId="Emphasis">
    <w:name w:val="Emphasis"/>
    <w:basedOn w:val="DefaultParagraphFont"/>
    <w:uiPriority w:val="20"/>
    <w:qFormat/>
    <w:rsid w:val="004E45FE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4E45F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E45F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E45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E45F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4E45F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B30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0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D56F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2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3A6"/>
  </w:style>
  <w:style w:type="paragraph" w:styleId="Footer">
    <w:name w:val="footer"/>
    <w:basedOn w:val="Normal"/>
    <w:link w:val="FooterChar"/>
    <w:uiPriority w:val="99"/>
    <w:unhideWhenUsed/>
    <w:rsid w:val="00AC2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3A6"/>
  </w:style>
  <w:style w:type="character" w:customStyle="1" w:styleId="NoSpacingChar">
    <w:name w:val="No Spacing Char"/>
    <w:basedOn w:val="DefaultParagraphFont"/>
    <w:link w:val="NoSpacing"/>
    <w:uiPriority w:val="1"/>
    <w:rsid w:val="00AC23A6"/>
  </w:style>
  <w:style w:type="paragraph" w:styleId="TOC1">
    <w:name w:val="toc 1"/>
    <w:basedOn w:val="Normal"/>
    <w:next w:val="Normal"/>
    <w:autoRedefine/>
    <w:uiPriority w:val="39"/>
    <w:unhideWhenUsed/>
    <w:rsid w:val="00D14D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4DB2"/>
    <w:pPr>
      <w:spacing w:after="100"/>
      <w:ind w:left="200"/>
    </w:pPr>
  </w:style>
  <w:style w:type="paragraph" w:styleId="TableofFigures">
    <w:name w:val="table of figures"/>
    <w:basedOn w:val="Normal"/>
    <w:next w:val="Normal"/>
    <w:uiPriority w:val="99"/>
    <w:unhideWhenUsed/>
    <w:rsid w:val="00D14DB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F7257B"/>
  </w:style>
  <w:style w:type="character" w:styleId="FollowedHyperlink">
    <w:name w:val="FollowedHyperlink"/>
    <w:basedOn w:val="DefaultParagraphFont"/>
    <w:uiPriority w:val="99"/>
    <w:semiHidden/>
    <w:unhideWhenUsed/>
    <w:rsid w:val="00FF48E8"/>
    <w:rPr>
      <w:color w:val="96607D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024E74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024E74"/>
  </w:style>
  <w:style w:type="character" w:styleId="EndnoteReference">
    <w:name w:val="endnote reference"/>
    <w:basedOn w:val="DefaultParagraphFont"/>
    <w:uiPriority w:val="99"/>
    <w:semiHidden/>
    <w:unhideWhenUsed/>
    <w:rsid w:val="00024E7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4E74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4E74"/>
  </w:style>
  <w:style w:type="character" w:styleId="FootnoteReference">
    <w:name w:val="footnote reference"/>
    <w:basedOn w:val="DefaultParagraphFont"/>
    <w:uiPriority w:val="99"/>
    <w:semiHidden/>
    <w:unhideWhenUsed/>
    <w:rsid w:val="00024E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Tel95</b:Tag>
    <b:SourceType>ArticleInAPeriodical</b:SourceType>
    <b:Guid>{DAD6BBDE-A1DD-40AE-9980-231CF31DCC7D}</b:Guid>
    <b:Title>Security audit and alarms framework.</b:Title>
    <b:Year>1995</b:Year>
    <b:Author>
      <b:Author>
        <b:Corporate>Telecommunication Standardization Sector of the International Telecommunications Union (ITU-T)</b:Corporate>
      </b:Author>
    </b:Author>
    <b:PeriodicalTitle>X.816</b:PeriodicalTitle>
    <b:RefOrder>1</b:RefOrder>
  </b:Source>
  <b:Source>
    <b:Tag>Sta15</b:Tag>
    <b:SourceType>ArticleInAPeriodical</b:SourceType>
    <b:Guid>{735B586A-8F50-48EA-8A83-F1172D4FBE92}</b:Guid>
    <b:Author>
      <b:Author>
        <b:Corporate>International Organization for Standardization</b:Corporate>
      </b:Author>
    </b:Author>
    <b:Title>Information technology — Security techniques — Requirements for bodies providing audit and certification of information security management systems</b:Title>
    <b:PeriodicalTitle>(ISO/IEC 27006, 3rd ed.)</b:PeriodicalTitle>
    <b:Year>2015</b:Year>
    <b:RefOrder>2</b:RefOrder>
  </b:Source>
  <b:Source>
    <b:Tag>Int20</b:Tag>
    <b:SourceType>ArticleInAPeriodical</b:SourceType>
    <b:Guid>{EA882301-3348-41EC-9BDF-6E5D81FC9A43}</b:Guid>
    <b:Author>
      <b:Author>
        <b:Corporate>International Organization for Standardization</b:Corporate>
      </b:Author>
    </b:Author>
    <b:Title>Information security, cybersecurity and privacy protection — Guidelines for information security management systems auditing</b:Title>
    <b:PeriodicalTitle>(ISO/IEC 27007, 3rd ed.)</b:PeriodicalTitle>
    <b:Year>2020</b:Year>
    <b:RefOrder>3</b:RefOrder>
  </b:Source>
  <b:Source>
    <b:Tag>Nat20</b:Tag>
    <b:SourceType>ArticleInAPeriodical</b:SourceType>
    <b:Guid>{00F72429-77EB-4FF6-BB7D-5CC263E80396}</b:Guid>
    <b:Author>
      <b:Author>
        <b:Corporate>National Institute of Standards and Technology</b:Corporate>
      </b:Author>
    </b:Author>
    <b:Title>Security and privacy controls for information systems and organizations</b:Title>
    <b:PeriodicalTitle>(NIST Special Publication 800-53 Revision 5)</b:PeriodicalTitle>
    <b:Year>2020</b:Year>
    <b:RefOrder>4</b:RefOrder>
  </b:Source>
  <b:Source>
    <b:Tag>Ken06</b:Tag>
    <b:SourceType>ArticleInAPeriodical</b:SourceType>
    <b:Guid>{DDD2BE34-2131-467C-8F0B-BCE32C74D7C6}</b:Guid>
    <b:Author>
      <b:Author>
        <b:NameList>
          <b:Person>
            <b:Last>Kent</b:Last>
            <b:First>K.,</b:First>
            <b:Middle>&amp; Souppaya, M.</b:Middle>
          </b:Person>
        </b:NameList>
      </b:Author>
    </b:Author>
    <b:Title>Guide to computer security log management</b:Title>
    <b:PeriodicalTitle>(NIST Special Publication 800-92)</b:PeriodicalTitle>
    <b:Year>2006</b:Year>
    <b:RefOrder>5</b:RefOrder>
  </b:Source>
  <b:Source>
    <b:Tag>Ham24</b:Tag>
    <b:SourceType>InternetSite</b:SourceType>
    <b:Guid>{EAA11432-EA5E-4D6D-AA72-E721B457A4F1}</b:Guid>
    <b:Author>
      <b:Author>
        <b:NameList>
          <b:Person>
            <b:Last>Hammar</b:Last>
            <b:First>M.</b:First>
          </b:Person>
        </b:NameList>
      </b:Author>
    </b:Author>
    <b:Title>What is the ISO 9001 standard? A straightforward overview</b:Title>
    <b:Year>2024</b:Year>
    <b:Month>March</b:Month>
    <b:Day>4</b:Day>
    <b:InternetSiteTitle>9001Academy</b:InternetSiteTitle>
    <b:URL>https://advisera.com/9001academy/what-is-iso-9001/</b:URL>
    <b:RefOrder>6</b:RefOrder>
  </b:Source>
</b:Sources>
</file>

<file path=customXml/itemProps1.xml><?xml version="1.0" encoding="utf-8"?>
<ds:datastoreItem xmlns:ds="http://schemas.openxmlformats.org/officeDocument/2006/customXml" ds:itemID="{82F8B09B-82B5-41D1-ADFC-C4D46ACA6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364</Words>
  <Characters>1832</Characters>
  <Application>Microsoft Office Word</Application>
  <DocSecurity>0</DocSecurity>
  <Lines>61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OVERVIEW OF CYBER SECURITY AUDITING STANDARDS</vt:lpstr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HOUSEHOLD HEATING DATA FOR JUNE 2024</dc:title>
  <dc:subject>June 30, 2024</dc:subject>
  <dc:creator>Anton Mishchenko</dc:creator>
  <cp:keywords/>
  <dc:description/>
  <cp:lastModifiedBy>Anton Mishchenko</cp:lastModifiedBy>
  <cp:revision>66</cp:revision>
  <dcterms:created xsi:type="dcterms:W3CDTF">2024-05-26T19:49:00Z</dcterms:created>
  <dcterms:modified xsi:type="dcterms:W3CDTF">2024-07-01T20:33:00Z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fa2ebbaa1738f4f286a66145a047123f0f02312504d189c38c6a9652e89a24a5</vt:lpwstr>
  </property>
</Properties>
</file>