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2381250" cy="866775"/>
            <wp:effectExtent t="0" r="0" b="0" l="0"/>
            <wp:docPr id="1" name="logo" descr="Logo Tecno Advance MGA Broker SRL" title="Tecno Advance M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866775"/>
                    </a:xfrm>
                    <a:prstGeom prst="rect">
                      <a:avLst/>
                    </a:prstGeom>
                  </pic:spPr>
                </pic:pic>
              </a:graphicData>
            </a:graphic>
          </wp:inline>
        </w:drawing>
      </w:r>
    </w:p>
    <w:p>
      <w:pPr>
        <w:pBdr>
          <w:bottom w:val="single" w:color="103657" w:sz="14" w:space="4"/>
        </w:pBdr>
        <w:spacing w:after="60" w:before="120"/>
      </w:pPr>
      <w:r>
        <w:rPr>
          <w:b/>
          <w:bCs/>
          <w:color w:val="103657"/>
          <w:sz w:val="40"/>
          <w:szCs w:val="40"/>
        </w:rPr>
        <w:t xml:space="preserve">GUIDA ALL'INTEGRAZIONE API</w:t>
      </w:r>
    </w:p>
    <w:p>
      <w:pPr>
        <w:spacing w:after="160" w:before="0" w:line="276"/>
      </w:pPr>
      <w:r>
        <w:rPr>
          <w:b/>
          <w:bCs/>
          <w:color w:val="AC7E59"/>
          <w:sz w:val="24"/>
          <w:szCs w:val="24"/>
        </w:rPr>
        <w:t xml:space="preserve">Policy Portal Pro — Connessione webhook real-time per portali esterni</w:t>
      </w:r>
    </w:p>
    <w:p>
      <w:pPr>
        <w:spacing w:after="80" w:before="0" w:line="276"/>
      </w:pPr>
      <w:r>
        <w:rPr>
          <w:i/>
          <w:iCs/>
          <w:color w:val="5A6473"/>
          <w:sz w:val="20"/>
          <w:szCs w:val="20"/>
        </w:rPr>
        <w:t xml:space="preserve">Documento operativo per qualunque sistema esterno che debba trasmettere automaticamente le pratiche assicurative al backend di Tecno Advance MGA Broker S.r.l. Descrive endpoint, autenticazione, firma HMAC, struttura del payload, gestione degli allegati, risposte attese e procedura di retry. I contenuti riflettono il comportamento effettivo dell’endpoint in produzione.</w:t>
      </w:r>
    </w:p>
    <w:p>
      <w:pPr>
        <w:spacing w:after="240"/>
      </w:pPr>
      <w:r>
        <w:rPr>
          <w:color w:val="5A6473"/>
          <w:sz w:val="18"/>
          <w:szCs w:val="18"/>
        </w:rPr>
        <w:t xml:space="preserve">Versione 1.0</w:t>
      </w:r>
      <w:r>
        <w:rPr>
          <w:color w:val="AC7E59"/>
          <w:sz w:val="18"/>
          <w:szCs w:val="18"/>
        </w:rPr>
        <w:t xml:space="preserve"> • </w:t>
      </w:r>
      <w:r>
        <w:rPr>
          <w:color w:val="5A6473"/>
          <w:sz w:val="18"/>
          <w:szCs w:val="18"/>
        </w:rPr>
        <w:t xml:space="preserve">Giugno 2026</w:t>
      </w:r>
      <w:r>
        <w:rPr>
          <w:color w:val="AC7E59"/>
          <w:sz w:val="18"/>
          <w:szCs w:val="18"/>
        </w:rPr>
        <w:t xml:space="preserve"> • </w:t>
      </w:r>
      <w:r>
        <w:rPr>
          <w:color w:val="5A6473"/>
          <w:sz w:val="18"/>
          <w:szCs w:val="18"/>
        </w:rPr>
        <w:t xml:space="preserve">Documento riservato</w:t>
      </w:r>
    </w:p>
    <w:p>
      <w:pPr>
        <w:pStyle w:val="Heading2"/>
        <w:pBdr>
          <w:bottom w:val="single" w:color="AC7E59" w:sz="6" w:space="2"/>
        </w:pBdr>
        <w:spacing w:after="160" w:before="320"/>
      </w:pPr>
      <w:r>
        <w:rPr>
          <w:b/>
          <w:bCs/>
          <w:color w:val="AC7E59"/>
        </w:rPr>
        <w:t xml:space="preserve"/>
      </w:r>
      <w:r>
        <w:rPr>
          <w:b/>
          <w:bCs/>
          <w:color w:val="103657"/>
        </w:rPr>
        <w:t xml:space="preserve">Indice</w:t>
      </w:r>
    </w:p>
    <w:p>
      <w:pPr>
        <w:spacing w:after="40"/>
      </w:pPr>
      <w:r>
        <w:rPr>
          <w:b/>
          <w:bCs/>
          <w:color w:val="AC7E59"/>
        </w:rPr>
        <w:t xml:space="preserve">▸ </w:t>
      </w:r>
      <w:r>
        <w:rPr>
          <w:color w:val="103657"/>
          <w:sz w:val="20"/>
          <w:szCs w:val="20"/>
        </w:rPr>
        <w:t xml:space="preserve">01  Come funziona l’integrazione</w:t>
      </w:r>
    </w:p>
    <w:p>
      <w:pPr>
        <w:spacing w:after="40"/>
      </w:pPr>
      <w:r>
        <w:rPr>
          <w:b/>
          <w:bCs/>
          <w:color w:val="AC7E59"/>
        </w:rPr>
        <w:t xml:space="preserve">▸ </w:t>
      </w:r>
      <w:r>
        <w:rPr>
          <w:color w:val="103657"/>
          <w:sz w:val="20"/>
          <w:szCs w:val="20"/>
        </w:rPr>
        <w:t xml:space="preserve">02  Parametri di connessione</w:t>
      </w:r>
    </w:p>
    <w:p>
      <w:pPr>
        <w:spacing w:after="40"/>
      </w:pPr>
      <w:r>
        <w:rPr>
          <w:b/>
          <w:bCs/>
          <w:color w:val="AC7E59"/>
        </w:rPr>
        <w:t xml:space="preserve">▸ </w:t>
      </w:r>
      <w:r>
        <w:rPr>
          <w:color w:val="103657"/>
          <w:sz w:val="20"/>
          <w:szCs w:val="20"/>
        </w:rPr>
        <w:t xml:space="preserve">03  Credenziali operative</w:t>
      </w:r>
    </w:p>
    <w:p>
      <w:pPr>
        <w:spacing w:after="40"/>
      </w:pPr>
      <w:r>
        <w:rPr>
          <w:b/>
          <w:bCs/>
          <w:color w:val="AC7E59"/>
        </w:rPr>
        <w:t xml:space="preserve">▸ </w:t>
      </w:r>
      <w:r>
        <w:rPr>
          <w:color w:val="103657"/>
          <w:sz w:val="20"/>
          <w:szCs w:val="20"/>
        </w:rPr>
        <w:t xml:space="preserve">04  Header obbligatori</w:t>
      </w:r>
    </w:p>
    <w:p>
      <w:pPr>
        <w:spacing w:after="40"/>
      </w:pPr>
      <w:r>
        <w:rPr>
          <w:b/>
          <w:bCs/>
          <w:color w:val="AC7E59"/>
        </w:rPr>
        <w:t xml:space="preserve">▸ </w:t>
      </w:r>
      <w:r>
        <w:rPr>
          <w:color w:val="103657"/>
          <w:sz w:val="20"/>
          <w:szCs w:val="20"/>
        </w:rPr>
        <w:t xml:space="preserve">05  Firma HMAC</w:t>
      </w:r>
    </w:p>
    <w:p>
      <w:pPr>
        <w:spacing w:after="40"/>
      </w:pPr>
      <w:r>
        <w:rPr>
          <w:b/>
          <w:bCs/>
          <w:color w:val="AC7E59"/>
        </w:rPr>
        <w:t xml:space="preserve">▸ </w:t>
      </w:r>
      <w:r>
        <w:rPr>
          <w:color w:val="103657"/>
          <w:sz w:val="20"/>
          <w:szCs w:val="20"/>
        </w:rPr>
        <w:t xml:space="preserve">06  Body JSON</w:t>
      </w:r>
    </w:p>
    <w:p>
      <w:pPr>
        <w:spacing w:after="40"/>
      </w:pPr>
      <w:r>
        <w:rPr>
          <w:b/>
          <w:bCs/>
          <w:color w:val="AC7E59"/>
        </w:rPr>
        <w:t xml:space="preserve">▸ </w:t>
      </w:r>
      <w:r>
        <w:rPr>
          <w:color w:val="103657"/>
          <w:sz w:val="20"/>
          <w:szCs w:val="20"/>
        </w:rPr>
        <w:t xml:space="preserve">07  Allegati documentali</w:t>
      </w:r>
    </w:p>
    <w:p>
      <w:pPr>
        <w:spacing w:after="40"/>
      </w:pPr>
      <w:r>
        <w:rPr>
          <w:b/>
          <w:bCs/>
          <w:color w:val="AC7E59"/>
        </w:rPr>
        <w:t xml:space="preserve">▸ </w:t>
      </w:r>
      <w:r>
        <w:rPr>
          <w:color w:val="103657"/>
          <w:sz w:val="20"/>
          <w:szCs w:val="20"/>
        </w:rPr>
        <w:t xml:space="preserve">08  Regola real-time al salvataggio</w:t>
      </w:r>
    </w:p>
    <w:p>
      <w:pPr>
        <w:spacing w:after="40"/>
      </w:pPr>
      <w:r>
        <w:rPr>
          <w:b/>
          <w:bCs/>
          <w:color w:val="AC7E59"/>
        </w:rPr>
        <w:t xml:space="preserve">▸ </w:t>
      </w:r>
      <w:r>
        <w:rPr>
          <w:color w:val="103657"/>
          <w:sz w:val="20"/>
          <w:szCs w:val="20"/>
        </w:rPr>
        <w:t xml:space="preserve">09  Risposte e codici HTTP</w:t>
      </w:r>
    </w:p>
    <w:p>
      <w:pPr>
        <w:spacing w:after="40"/>
      </w:pPr>
      <w:r>
        <w:rPr>
          <w:b/>
          <w:bCs/>
          <w:color w:val="AC7E59"/>
        </w:rPr>
        <w:t xml:space="preserve">▸ </w:t>
      </w:r>
      <w:r>
        <w:rPr>
          <w:color w:val="103657"/>
          <w:sz w:val="20"/>
          <w:szCs w:val="20"/>
        </w:rPr>
        <w:t xml:space="preserve">10  Retry e idempotenza</w:t>
      </w:r>
    </w:p>
    <w:p>
      <w:pPr>
        <w:spacing w:after="40"/>
      </w:pPr>
      <w:r>
        <w:rPr>
          <w:b/>
          <w:bCs/>
          <w:color w:val="AC7E59"/>
        </w:rPr>
        <w:t xml:space="preserve">▸ </w:t>
      </w:r>
      <w:r>
        <w:rPr>
          <w:color w:val="103657"/>
          <w:sz w:val="20"/>
          <w:szCs w:val="20"/>
        </w:rPr>
        <w:t xml:space="preserve">11  Checklist pre go-live</w:t>
      </w:r>
    </w:p>
    <w:p>
      <w:pPr>
        <w:spacing w:after="40"/>
      </w:pPr>
      <w:r>
        <w:rPr>
          <w:b/>
          <w:bCs/>
          <w:color w:val="AC7E59"/>
        </w:rPr>
        <w:t xml:space="preserve">▸ </w:t>
      </w:r>
      <w:r>
        <w:rPr>
          <w:color w:val="103657"/>
          <w:sz w:val="20"/>
          <w:szCs w:val="20"/>
        </w:rPr>
        <w:t xml:space="preserve">12  Contatti e sicurezza</w:t>
      </w:r>
    </w:p>
    <w:p>
      <w:r>
        <w:br w:type="page"/>
      </w:r>
    </w:p>
    <w:p>
      <w:pPr>
        <w:pStyle w:val="Heading2"/>
        <w:pBdr>
          <w:bottom w:val="single" w:color="AC7E59" w:sz="6" w:space="2"/>
        </w:pBdr>
        <w:spacing w:after="160" w:before="320"/>
      </w:pPr>
      <w:r>
        <w:rPr>
          <w:b/>
          <w:bCs/>
          <w:color w:val="AC7E59"/>
        </w:rPr>
        <w:t xml:space="preserve">01   </w:t>
      </w:r>
      <w:r>
        <w:rPr>
          <w:b/>
          <w:bCs/>
          <w:color w:val="103657"/>
        </w:rPr>
        <w:t xml:space="preserve">Come funziona l’integrazione</w:t>
      </w:r>
    </w:p>
    <w:p>
      <w:pPr>
        <w:spacing w:after="120" w:before="0" w:line="276"/>
      </w:pPr>
      <w:r>
        <w:t xml:space="preserve">Quando una pratica viene salvata nel portale esterno, il sistema invia in tempo reale i dati del cliente e della pratica (con eventuali allegati) all’endpoint webhook di Tecno Advance MGA tramite una singola chiamata HTTP autenticata. Ogni chiamata valida crea una nuova pratica nel backend MGA in stato in_lavorazione.</w:t>
      </w:r>
    </w:p>
    <w:p>
      <w:pPr>
        <w:spacing w:after="120" w:before="0" w:line="276"/>
      </w:pPr>
      <w:r>
        <w:rPr>
          <w:sz w:val="20"/>
          <w:szCs w:val="20"/>
        </w:rPr>
        <w:t xml:space="preserve">Il flusso è sempre lo stesso: </w:t>
      </w:r>
      <w:r>
        <w:rPr>
          <w:b/>
          <w:bCs/>
          <w:color w:val="AC7E59"/>
        </w:rPr>
        <w:t xml:space="preserve">(1) </w:t>
      </w:r>
      <w:r>
        <w:rPr>
          <w:sz w:val="20"/>
          <w:szCs w:val="20"/>
        </w:rPr>
        <w:t xml:space="preserve">componi il payload JSON → </w:t>
      </w:r>
      <w:r>
        <w:rPr>
          <w:b/>
          <w:bCs/>
          <w:color w:val="AC7E59"/>
        </w:rPr>
        <w:t xml:space="preserve">(2) </w:t>
      </w:r>
      <w:r>
        <w:rPr>
          <w:sz w:val="20"/>
          <w:szCs w:val="20"/>
        </w:rPr>
        <w:t xml:space="preserve">calcola la firma HMAC del body → </w:t>
      </w:r>
      <w:r>
        <w:rPr>
          <w:b/>
          <w:bCs/>
          <w:color w:val="AC7E59"/>
        </w:rPr>
        <w:t xml:space="preserve">(3) </w:t>
      </w:r>
      <w:r>
        <w:rPr>
          <w:sz w:val="20"/>
          <w:szCs w:val="20"/>
        </w:rPr>
        <w:t xml:space="preserve">invia la POST con gli header richiesti → </w:t>
      </w:r>
      <w:r>
        <w:rPr>
          <w:b/>
          <w:bCs/>
          <w:color w:val="AC7E59"/>
        </w:rPr>
        <w:t xml:space="preserve">(4) </w:t>
      </w:r>
      <w:r>
        <w:rPr>
          <w:sz w:val="20"/>
          <w:szCs w:val="20"/>
        </w:rPr>
        <w:t xml:space="preserve">gestisci la risposta (200 / errore) e gli eventuali retry.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22C55E" w:sz="24"/>
              <w:bottom w:val="none" w:color="FFFFFF" w:sz="0"/>
              <w:right w:val="none" w:color="FFFFFF" w:sz="0"/>
            </w:tcBorders>
            <w:shd w:fill="F0FDF4" w:val="clear"/>
            <w:tcMar>
              <w:top w:type="dxa" w:w="120"/>
              <w:left w:type="dxa" w:w="160"/>
              <w:bottom w:type="dxa" w:w="120"/>
              <w:right w:type="dxa" w:w="160"/>
            </w:tcMar>
          </w:tcPr>
          <w:p>
            <w:pPr>
              <w:spacing w:after="40"/>
            </w:pPr>
            <w:r>
              <w:rPr>
                <w:b/>
                <w:bCs/>
                <w:color w:val="103657"/>
              </w:rPr>
              <w:t xml:space="preserve">Integrazione minima</w:t>
            </w:r>
          </w:p>
          <w:p>
            <w:pPr>
              <w:spacing w:after="0" w:line="270"/>
            </w:pPr>
            <w:r>
              <w:rPr>
                <w:color w:val="1F2733"/>
                <w:sz w:val="20"/>
                <w:szCs w:val="20"/>
              </w:rPr>
              <w:t xml:space="preserve">Per collegarsi servono solo: endpoint, una coppia di credenziali (X-API-Key + WEBHOOK_SECRET) e la capacità di calcolare un HMAC-SHA256. Nessuna libreria proprietaria, nessun SDK: bastano una chiamata HTTP e una funzione di hashing standard.</w:t>
            </w:r>
          </w:p>
        </w:tc>
      </w:tr>
    </w:tbl>
    <w:p>
      <w:pPr>
        <w:pStyle w:val="Heading2"/>
        <w:pBdr>
          <w:bottom w:val="single" w:color="AC7E59" w:sz="6" w:space="2"/>
        </w:pBdr>
        <w:spacing w:after="160" w:before="320"/>
      </w:pPr>
      <w:r>
        <w:rPr>
          <w:b/>
          <w:bCs/>
          <w:color w:val="AC7E59"/>
        </w:rPr>
        <w:t xml:space="preserve">02   </w:t>
      </w:r>
      <w:r>
        <w:rPr>
          <w:b/>
          <w:bCs/>
          <w:color w:val="103657"/>
        </w:rPr>
        <w:t xml:space="preserve">Parametri di connessione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Parametro</w:t>
            </w:r>
          </w:p>
        </w:tc>
        <w:tc>
          <w:tcPr>
            <w:tcW w:type="dxa" w:w="46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Valore</w:t>
            </w:r>
          </w:p>
        </w:tc>
        <w:tc>
          <w:tcPr>
            <w:tcW w:type="dxa" w:w="24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Autenticazione</w:t>
            </w:r>
          </w:p>
        </w:tc>
      </w:tr>
      <w:tr>
        <w:tc>
          <w:tcPr>
            <w:tcW w:type="dxa" w:w="2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Base URL</w:t>
            </w:r>
          </w:p>
        </w:tc>
        <w:tc>
          <w:tcPr>
            <w:tcW w:type="dxa" w:w="46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https://policy-portal-pro.vercel.app</w:t>
            </w:r>
          </w:p>
        </w:tc>
        <w:tc>
          <w:tcPr>
            <w:tcW w:type="dxa" w:w="24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w:t>
            </w:r>
          </w:p>
        </w:tc>
      </w:tr>
      <w:tr>
        <w:tc>
          <w:tcPr>
            <w:tcW w:type="dxa" w:w="2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Endpoint</w:t>
            </w:r>
          </w:p>
        </w:tc>
        <w:tc>
          <w:tcPr>
            <w:tcW w:type="dxa" w:w="46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/api/webhook-receive-policy</w:t>
            </w:r>
          </w:p>
        </w:tc>
        <w:tc>
          <w:tcPr>
            <w:tcW w:type="dxa" w:w="24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X-API-Key + HMAC</w:t>
            </w:r>
          </w:p>
        </w:tc>
      </w:tr>
      <w:tr>
        <w:tc>
          <w:tcPr>
            <w:tcW w:type="dxa" w:w="2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Metodo</w:t>
            </w:r>
          </w:p>
        </w:tc>
        <w:tc>
          <w:tcPr>
            <w:tcW w:type="dxa" w:w="46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POST</w:t>
            </w:r>
          </w:p>
        </w:tc>
        <w:tc>
          <w:tcPr>
            <w:tcW w:type="dxa" w:w="24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w:t>
            </w:r>
          </w:p>
        </w:tc>
      </w:tr>
      <w:tr>
        <w:tc>
          <w:tcPr>
            <w:tcW w:type="dxa" w:w="2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Formato</w:t>
            </w:r>
          </w:p>
        </w:tc>
        <w:tc>
          <w:tcPr>
            <w:tcW w:type="dxa" w:w="46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application/json (UTF-8)</w:t>
            </w:r>
          </w:p>
        </w:tc>
        <w:tc>
          <w:tcPr>
            <w:tcW w:type="dxa" w:w="24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w:t>
            </w:r>
          </w:p>
        </w:tc>
      </w:tr>
      <w:tr>
        <w:tc>
          <w:tcPr>
            <w:tcW w:type="dxa" w:w="2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Trigger</w:t>
            </w:r>
          </w:p>
        </w:tc>
        <w:tc>
          <w:tcPr>
            <w:tcW w:type="dxa" w:w="46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Salvataggio pratica (real-time)</w:t>
            </w:r>
          </w:p>
        </w:tc>
        <w:tc>
          <w:tcPr>
            <w:tcW w:type="dxa" w:w="24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w:t>
            </w:r>
          </w:p>
        </w:tc>
      </w:tr>
    </w:tbl>
    <w:p>
      <w:pPr>
        <w:spacing w:after="120" w:before="120" w:line="276"/>
      </w:pPr>
      <w:r>
        <w:rPr>
          <w:sz w:val="20"/>
          <w:szCs w:val="20"/>
        </w:rPr>
        <w:t xml:space="preserve">URL completo dell’endpoint: </w:t>
      </w:r>
      <w:r>
        <w:rPr>
          <w:rFonts w:ascii="Consolas" w:cs="Consolas" w:eastAsia="Consolas" w:hAnsi="Consolas"/>
          <w:color w:val="103657"/>
          <w:sz w:val="18"/>
          <w:szCs w:val="18"/>
        </w:rPr>
        <w:t xml:space="preserve">https://policy-portal-pro.vercel.app/api/webhook-receive-policy</w:t>
      </w:r>
    </w:p>
    <w:p>
      <w:pPr>
        <w:pStyle w:val="Heading2"/>
        <w:pBdr>
          <w:bottom w:val="single" w:color="AC7E59" w:sz="6" w:space="2"/>
        </w:pBdr>
        <w:spacing w:after="160" w:before="320"/>
      </w:pPr>
      <w:r>
        <w:rPr>
          <w:b/>
          <w:bCs/>
          <w:color w:val="AC7E59"/>
        </w:rPr>
        <w:t xml:space="preserve">03   </w:t>
      </w:r>
      <w:r>
        <w:rPr>
          <w:b/>
          <w:bCs/>
          <w:color w:val="103657"/>
        </w:rPr>
        <w:t xml:space="preserve">Credenziali operative</w:t>
      </w:r>
    </w:p>
    <w:p>
      <w:pPr>
        <w:spacing w:after="120" w:before="0" w:line="276"/>
      </w:pPr>
      <w:r>
        <w:rPr>
          <w:sz w:val="20"/>
          <w:szCs w:val="20"/>
        </w:rPr>
        <w:t xml:space="preserve">Ogni portale mittente riceve una coppia di credenziali dedicata. La </w:t>
      </w:r>
      <w:r>
        <w:rPr>
          <w:b/>
          <w:bCs/>
          <w:color w:val="103657"/>
        </w:rPr>
        <w:t xml:space="preserve">X-API-Key</w:t>
      </w:r>
      <w:r>
        <w:rPr>
          <w:sz w:val="20"/>
          <w:szCs w:val="20"/>
        </w:rPr>
        <w:t xml:space="preserve"> identifica il mittente e viene validata lato server. Il </w:t>
      </w:r>
      <w:r>
        <w:rPr>
          <w:b/>
          <w:bCs/>
          <w:color w:val="103657"/>
        </w:rPr>
        <w:t xml:space="preserve">WEBHOOK_SECRET</w:t>
      </w:r>
      <w:r>
        <w:rPr>
          <w:sz w:val="20"/>
          <w:szCs w:val="20"/>
        </w:rPr>
        <w:t xml:space="preserve"> serve esclusivamente al calcolo della firma HMAC e non deve mai essere trasmesso nelle richieste.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Credenziale</w:t>
            </w:r>
          </w:p>
        </w:tc>
        <w:tc>
          <w:tcPr>
            <w:tcW w:type="dxa" w:w="64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Utilizzo</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b/>
                <w:bCs/>
                <w:color w:val="103657"/>
                <w:sz w:val="18"/>
                <w:szCs w:val="18"/>
              </w:rPr>
              <w:t xml:space="preserve">X-API-Key</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Inviata in ogni richiesta nell’header X-API-Key per identificare e autorizzare il mittente.</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b/>
                <w:bCs/>
                <w:color w:val="103657"/>
                <w:sz w:val="18"/>
                <w:szCs w:val="18"/>
              </w:rPr>
              <w:t xml:space="preserve">WEBHOOK_SECRET</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Chiave segreta usata solo lato backend per generare la firma X-Signature (HMAC-SHA256 del body).</w:t>
            </w:r>
          </w:p>
        </w:tc>
      </w:tr>
    </w:tbl>
    <w:p>
      <w:pPr>
        <w:spacing w:after="80" w:before="120"/>
      </w:pPr>
      <w:r>
        <w:rPr>
          <w:b/>
          <w:bCs/>
          <w:color w:val="103657"/>
          <w:sz w:val="20"/>
          <w:szCs w:val="20"/>
        </w:rPr>
        <w:t xml:space="preserve">Credenziali assegnate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AC7E59" w:sz="24"/>
              <w:bottom w:val="none" w:color="FFFFFF" w:sz="0"/>
              <w:right w:val="none" w:color="FFFFFF" w:sz="0"/>
            </w:tcBorders>
            <w:shd w:fill="1A1F2E" w:val="clear"/>
            <w:tcMar>
              <w:top w:type="dxa" w:w="100"/>
              <w:left w:type="dxa" w:w="160"/>
              <w:bottom w:type="dxa" w:w="100"/>
              <w:right w:type="dxa" w:w="160"/>
            </w:tcMar>
          </w:tcPr>
          <w:p>
            <w:pPr>
              <w:spacing w:after="40"/>
            </w:pPr>
            <w:r>
              <w:rPr>
                <w:rFonts w:ascii="Consolas" w:cs="Consolas" w:eastAsia="Consolas" w:hAnsi="Consolas"/>
                <w:b/>
                <w:bCs/>
                <w:color w:val="8FE3CF"/>
                <w:sz w:val="17"/>
                <w:szCs w:val="17"/>
              </w:rPr>
              <w:t xml:space="preserve">X-API-Key</w:t>
            </w:r>
          </w:p>
          <w:p>
            <w:pPr>
              <w:spacing w:after="0"/>
            </w:pPr>
            <w:r>
              <w:rPr>
                <w:rFonts w:ascii="Consolas" w:cs="Consolas" w:eastAsia="Consolas" w:hAnsi="Consolas"/>
                <w:color w:val="E2E8F0"/>
                <w:sz w:val="18"/>
                <w:szCs w:val="18"/>
              </w:rPr>
              <w:t xml:space="preserve">tmga_ba098bcfeabe1092852fbd6f3ef29b14</w:t>
            </w:r>
          </w:p>
        </w:tc>
      </w:tr>
    </w:tbl>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AC7E59" w:sz="24"/>
              <w:bottom w:val="none" w:color="FFFFFF" w:sz="0"/>
              <w:right w:val="none" w:color="FFFFFF" w:sz="0"/>
            </w:tcBorders>
            <w:shd w:fill="1A1F2E" w:val="clear"/>
            <w:tcMar>
              <w:top w:type="dxa" w:w="100"/>
              <w:left w:type="dxa" w:w="160"/>
              <w:bottom w:type="dxa" w:w="100"/>
              <w:right w:type="dxa" w:w="160"/>
            </w:tcMar>
          </w:tcPr>
          <w:p>
            <w:pPr>
              <w:spacing w:after="40"/>
            </w:pPr>
            <w:r>
              <w:rPr>
                <w:rFonts w:ascii="Consolas" w:cs="Consolas" w:eastAsia="Consolas" w:hAnsi="Consolas"/>
                <w:b/>
                <w:bCs/>
                <w:color w:val="8FE3CF"/>
                <w:sz w:val="17"/>
                <w:szCs w:val="17"/>
              </w:rPr>
              <w:t xml:space="preserve">WEBHOOK_SECRET</w:t>
            </w:r>
          </w:p>
          <w:p>
            <w:pPr>
              <w:spacing w:after="0"/>
            </w:pPr>
            <w:r>
              <w:rPr>
                <w:rFonts w:ascii="Consolas" w:cs="Consolas" w:eastAsia="Consolas" w:hAnsi="Consolas"/>
                <w:color w:val="E2E8F0"/>
                <w:sz w:val="18"/>
                <w:szCs w:val="18"/>
              </w:rPr>
              <w:t xml:space="preserve">tmga_whsec_00d692766b535ffb049ec797b93decc6cbe67568882ea1975f20c512d5fab875</w:t>
            </w:r>
          </w:p>
        </w:tc>
      </w:tr>
    </w:tbl>
    <w:p>
      <w:pPr>
        <w:spacing w:after="1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EF4444" w:sz="24"/>
              <w:bottom w:val="none" w:color="FFFFFF" w:sz="0"/>
              <w:right w:val="none" w:color="FFFFFF" w:sz="0"/>
            </w:tcBorders>
            <w:shd w:fill="FEF2F2" w:val="clear"/>
            <w:tcMar>
              <w:top w:type="dxa" w:w="120"/>
              <w:left w:type="dxa" w:w="160"/>
              <w:bottom w:type="dxa" w:w="120"/>
              <w:right w:type="dxa" w:w="160"/>
            </w:tcMar>
          </w:tcPr>
          <w:p>
            <w:pPr>
              <w:spacing w:after="40"/>
            </w:pPr>
            <w:r>
              <w:rPr>
                <w:b/>
                <w:bCs/>
                <w:color w:val="103657"/>
              </w:rPr>
              <w:t xml:space="preserve">Conserva queste credenziali solo nel backend</w:t>
            </w:r>
          </w:p>
          <w:p>
            <w:pPr>
              <w:spacing w:after="0" w:line="270"/>
            </w:pPr>
            <w:r>
              <w:rPr>
                <w:color w:val="1F2733"/>
                <w:sz w:val="20"/>
                <w:szCs w:val="20"/>
              </w:rPr>
              <w:t xml:space="preserve">Non esporle mai lato frontend, in URL, nei log o in repository pubblici. In caso di sospetta compromissione contatta subito il referente tecnico per la rotazione delle chiavi.</w:t>
            </w:r>
          </w:p>
        </w:tc>
      </w:tr>
    </w:tbl>
    <w:p>
      <w:pPr>
        <w:pStyle w:val="Heading2"/>
        <w:pBdr>
          <w:bottom w:val="single" w:color="AC7E59" w:sz="6" w:space="2"/>
        </w:pBdr>
        <w:spacing w:after="160" w:before="320"/>
      </w:pPr>
      <w:r>
        <w:rPr>
          <w:b/>
          <w:bCs/>
          <w:color w:val="AC7E59"/>
        </w:rPr>
        <w:t xml:space="preserve">04   </w:t>
      </w:r>
      <w:r>
        <w:rPr>
          <w:b/>
          <w:bCs/>
          <w:color w:val="103657"/>
        </w:rPr>
        <w:t xml:space="preserve">Header obbligatori</w:t>
      </w:r>
    </w:p>
    <w:p>
      <w:pPr>
        <w:spacing w:after="120" w:before="0" w:line="276"/>
      </w:pPr>
      <w:r>
        <w:t xml:space="preserve">Ogni richiesta POST deve includere gli header seguenti. La firma HMAC è obbligatoria per superare la validazione. Non è previsto né richiesto alcun header timestamp.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Header</w:t>
            </w:r>
          </w:p>
        </w:tc>
        <w:tc>
          <w:tcPr>
            <w:tcW w:type="dxa" w:w="10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Obbl.</w:t>
            </w:r>
          </w:p>
        </w:tc>
        <w:tc>
          <w:tcPr>
            <w:tcW w:type="dxa" w:w="54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Descrizione</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Content-Type</w:t>
            </w:r>
          </w:p>
        </w:tc>
        <w:tc>
          <w:tcPr>
            <w:tcW w:type="dxa" w:w="1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5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Sempre application/json</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X-API-Key</w:t>
            </w:r>
          </w:p>
        </w:tc>
        <w:tc>
          <w:tcPr>
            <w:tcW w:type="dxa" w:w="1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5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Chiave API assegnata al portale mittente</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X-Signature</w:t>
            </w:r>
          </w:p>
        </w:tc>
        <w:tc>
          <w:tcPr>
            <w:tcW w:type="dxa" w:w="1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5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Firma HMAC-SHA256 del body nel formato sha256=&lt;hex&gt;</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X-Idempotency-Key</w:t>
            </w:r>
          </w:p>
        </w:tc>
        <w:tc>
          <w:tcPr>
            <w:tcW w:type="dxa" w:w="1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5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Chiave di idempotenza (in alternativa il campo idempotency_key nel body)</w:t>
            </w:r>
          </w:p>
        </w:tc>
      </w:tr>
    </w:tbl>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HTTP — RICHIESTA RAW</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POST /api/webhook-receive-policy HTTP/1.1</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Host: policy-portal-pro.vercel.app</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Content-Type: application/json</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X-API-Key: tmga_ba098bcfeabe1092852fbd6f3ef29b14</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X-Signature: sha256=3a7bd3e2360a3d4c6f1d9b8e2c5a7f0b...</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X-Idempotency-Key: EXT-2026-000123</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{"source":"portale-esterno","practice_type":"rc",</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"client_name":"Mario Rossi","client_email":"mario.rossi@example.com",</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 "client_phone":"+39 333 1234567"}</w:t>
      </w:r>
    </w:p>
    <w:p>
      <w:r>
        <w:br w:type="page"/>
      </w:r>
    </w:p>
    <w:p>
      <w:pPr>
        <w:pStyle w:val="Heading2"/>
        <w:pBdr>
          <w:bottom w:val="single" w:color="AC7E59" w:sz="6" w:space="2"/>
        </w:pBdr>
        <w:spacing w:after="160" w:before="320"/>
      </w:pPr>
      <w:r>
        <w:rPr>
          <w:b/>
          <w:bCs/>
          <w:color w:val="AC7E59"/>
        </w:rPr>
        <w:t xml:space="preserve">05   </w:t>
      </w:r>
      <w:r>
        <w:rPr>
          <w:b/>
          <w:bCs/>
          <w:color w:val="103657"/>
        </w:rPr>
        <w:t xml:space="preserve">Firma HMAC</w:t>
      </w:r>
    </w:p>
    <w:p>
      <w:pPr>
        <w:spacing w:after="120" w:before="0" w:line="276"/>
      </w:pPr>
      <w:r>
        <w:t xml:space="preserve">La firma garantisce autenticità e integrità del payload. Si calcola come HMAC-SHA256 sul body JSON esatto della richiesta, usando il WEBHOOK_SECRET come chiave, e si invia in formato esadecimale con prefisso sha256= nell’header X-Signature.</w:t>
      </w:r>
    </w:p>
    <w:p>
      <w:pPr>
        <w:pStyle w:val="ListParagraph"/>
        <w:numPr>
          <w:ilvl w:val="0"/>
          <w:numId w:val="2"/>
        </w:numPr>
        <w:spacing w:after="80" w:line="276"/>
      </w:pPr>
      <w:r>
        <w:t xml:space="preserve">La firma copre solo il body: nessun timestamp, nessun header aggiuntivo nella stringa firmata.</w:t>
      </w:r>
    </w:p>
    <w:p>
      <w:pPr>
        <w:pStyle w:val="ListParagraph"/>
        <w:numPr>
          <w:ilvl w:val="0"/>
          <w:numId w:val="2"/>
        </w:numPr>
        <w:spacing w:after="80" w:line="276"/>
      </w:pPr>
      <w:r>
        <w:rPr>
          <w:b/>
          <w:bCs/>
          <w:sz w:val="20"/>
          <w:szCs w:val="20"/>
        </w:rPr>
        <w:t xml:space="preserve">Firma e invia la stessa identica stringa JSON compatta</w:t>
      </w:r>
      <w:r>
        <w:rPr>
          <w:sz w:val="20"/>
          <w:szCs w:val="20"/>
        </w:rPr>
        <w:t xml:space="preserve"> (senza spazi superflui, stesso ordine dei campi). Il server ricalcola la firma su quella stringa: se differisce, la verifica fallisce.</w:t>
      </w:r>
    </w:p>
    <w:p>
      <w:pPr>
        <w:pStyle w:val="ListParagraph"/>
        <w:numPr>
          <w:ilvl w:val="0"/>
          <w:numId w:val="2"/>
        </w:numPr>
        <w:spacing w:after="80" w:line="276"/>
      </w:pPr>
      <w:r>
        <w:t xml:space="preserve">Il confronto lato server avviene in constant time; una firma non valida restituisce 401.</w:t>
      </w:r>
    </w:p>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NODE.JS</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const crypto = require('crypto');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API_KEY = 'tmga_ba098bcfeabe1092852fbd6f3ef29b14';</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WEBHOOK_SECRET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'tmga_whsec_00d692766b535ffb049ec797b93decc6cbe67568882ea1975f20c512d5fab875';</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URL = 'https://policy-portal-pro.vercel.app/api/webhook-receive-policy';</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payload =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source: 'portale-esterno',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practice_type: 'rc',</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client_name: 'Mario Rossi',</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client_email: 'mario.rossi@example.com',</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client_phone: '+39 333 1234567',</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Firma la STESSA stringa che invii nel body (JSON compatto)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rawBody = JSON.stringify(payload);</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const signature = 'sha256=' + crypto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.createHmac('sha256', WEBHOOK_SECRET)</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.update(rawBody, 'utf8')</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.digest('hex');</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await fetch(URL,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method: 'POST',</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headers: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'Content-Type': 'application/json',</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'X-API-Key': API_KEY,</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'X-Signature': signature,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'X-Idempotency-Key': 'EXT-2026-000123',</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body: rawBody,</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PYTHON</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import hmac, hashlib, json, requests</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API_KEY = "tmga_ba098bcfeabe1092852fbd6f3ef29b14"</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WEBHOOK_SECRET = "tmga_whsec_00d692766b535ffb049ec797b93decc6cbe67568882ea1975f20c512d5fab875"</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URL = "https://policy-portal-pro.vercel.app/api/webhook-receive-policy"</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payload =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"source": "portale-esterno",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"practice_type": "rc",</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"client_name": "Mario Rossi",</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"client_email": "mario.rossi@example.com",</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"client_phone": "+39 333 1234567",</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Firma la STESSA stringa che invii nel body (JSON compatto)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raw_body = json.dumps(payload, separators=(",",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signature = "sha256=" + hmac.new(</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WEBHOOK_SECRET.encode("utf-8"),</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raw_body.encode("utf-8"),</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hashlib.sha256,</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).hexdigest()</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requests.post(URL, data=raw_body, headers={</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"Content-Type": "application/json",</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"X-API-Key": API_KEY,</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"X-Signature": signature,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"X-Idempotency-Key": "EXT-2026-000123",</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p>
      <w:r>
        <w:br w:type="page"/>
      </w:r>
    </w:p>
    <w:p>
      <w:pPr>
        <w:pStyle w:val="Heading2"/>
        <w:pBdr>
          <w:bottom w:val="single" w:color="AC7E59" w:sz="6" w:space="2"/>
        </w:pBdr>
        <w:spacing w:after="160" w:before="320"/>
      </w:pPr>
      <w:r>
        <w:rPr>
          <w:b/>
          <w:bCs/>
          <w:color w:val="AC7E59"/>
        </w:rPr>
        <w:t xml:space="preserve">06   </w:t>
      </w:r>
      <w:r>
        <w:rPr>
          <w:b/>
          <w:bCs/>
          <w:color w:val="103657"/>
        </w:rPr>
        <w:t xml:space="preserve">Body JSON</w:t>
      </w:r>
    </w:p>
    <w:p>
      <w:pPr>
        <w:spacing w:after="120" w:before="0" w:line="276"/>
      </w:pPr>
      <w:r>
        <w:t xml:space="preserve">Struttura accettata dall’endpoint. I cinque campi obbligatori devono essere stringhe non vuote; gli altri sono opzionali. Il campo documents può essere un array vuoto se non ci sono allegati.</w:t>
      </w:r>
    </w:p>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JSON — PAYLOAD COMPLETO</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"source": "portale-esterno",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"practice_type": "rc",</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"client_name": "Mario Rossi",</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"client_email": "mario.rossi@example.com",</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"client_phone": "+39 333 1234567",</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"beneficiary": "Mario Rossi",</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"policy_number": "RC-2026-00045",</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"policy_start_date": "2026-06-05",</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"policy_end_date": "2027-06-05",</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"notes": "Pratica creata dal portale esterno",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"idempotency_key": "EXT-2026-000123",</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"documents": []</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tblHeader/>
        </w:trPr>
        <w:tc>
          <w:tcPr>
            <w:tcW w:type="dxa" w:w="23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Campo</w:t>
            </w:r>
          </w:p>
        </w:tc>
        <w:tc>
          <w:tcPr>
            <w:tcW w:type="dxa" w:w="11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Tipo</w:t>
            </w:r>
          </w:p>
        </w:tc>
        <w:tc>
          <w:tcPr>
            <w:tcW w:type="dxa" w:w="9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Obbl.</w:t>
            </w:r>
          </w:p>
        </w:tc>
        <w:tc>
          <w:tcPr>
            <w:tcW w:type="dxa" w:w="47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Descrizione</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source</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Identificativo del portale mittente (tracciato nei log)</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practice_type</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Tipologia pratica (valori ammessi sotto). Normalizzato: minuscolo, spazi → underscore</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client_name</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Nome del cliente</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client_email</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Email del cliente</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client_phone</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Telefono del cliente</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beneficiary</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Beneficiario della polizza</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policy_number</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Numero di polizza</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policy_start_date</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Data inizio copertura (YYYY-MM-DD)</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policy_end_date</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Data fine copertura (YYYY-MM-DD)</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notes</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Note libere accodate alla pratica</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idempotency_key</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Chiave di idempotenza (alternativa all’header)</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documents</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array</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Allegati documentali (vedi sezione 07)</w:t>
            </w:r>
          </w:p>
        </w:tc>
      </w:tr>
    </w:tbl>
    <w:p>
      <w:pPr>
        <w:spacing w:after="80" w:before="200"/>
      </w:pPr>
      <w:r>
        <w:rPr>
          <w:b/>
          <w:bCs/>
          <w:color w:val="103657"/>
          <w:sz w:val="22"/>
          <w:szCs w:val="22"/>
        </w:rPr>
        <w:t xml:space="preserve">Valori ammessi per practice_type</w:t>
      </w:r>
    </w:p>
    <w:p>
      <w:pPr>
        <w:spacing w:after="120" w:before="0" w:line="276"/>
      </w:pPr>
      <w:r>
        <w:rPr>
          <w:rFonts w:ascii="Consolas" w:cs="Consolas" w:eastAsia="Consolas" w:hAnsi="Consolas"/>
          <w:color w:val="103657"/>
          <w:sz w:val="18"/>
          <w:szCs w:val="18"/>
        </w:rPr>
        <w:t xml:space="preserve">car · casa · fidejussioni · rc · pet · fotovoltaico · catastrofali · azienda · postuma_decennale · all_risk · risparmio · salute</w:t>
      </w:r>
    </w:p>
    <w:p>
      <w:pPr>
        <w:spacing w:after="120" w:before="0" w:line="276"/>
      </w:pPr>
      <w:r>
        <w:rPr>
          <w:sz w:val="20"/>
          <w:szCs w:val="20"/>
        </w:rPr>
        <w:t xml:space="preserve">Un valore non incluso restituisce </w:t>
      </w:r>
      <w:r>
        <w:rPr>
          <w:rFonts w:ascii="Consolas" w:cs="Consolas" w:eastAsia="Consolas" w:hAnsi="Consolas"/>
          <w:color w:val="103657"/>
          <w:sz w:val="18"/>
          <w:szCs w:val="18"/>
        </w:rPr>
        <w:t xml:space="preserve">422</w:t>
      </w:r>
      <w:r>
        <w:rPr>
          <w:sz w:val="20"/>
          <w:szCs w:val="20"/>
        </w:rPr>
        <w:t xml:space="preserve">.</w:t>
      </w:r>
    </w:p>
    <w:p>
      <w:r>
        <w:br w:type="page"/>
      </w:r>
    </w:p>
    <w:p>
      <w:pPr>
        <w:pStyle w:val="Heading2"/>
        <w:pBdr>
          <w:bottom w:val="single" w:color="AC7E59" w:sz="6" w:space="2"/>
        </w:pBdr>
        <w:spacing w:after="160" w:before="320"/>
      </w:pPr>
      <w:r>
        <w:rPr>
          <w:b/>
          <w:bCs/>
          <w:color w:val="AC7E59"/>
        </w:rPr>
        <w:t xml:space="preserve">07   </w:t>
      </w:r>
      <w:r>
        <w:rPr>
          <w:b/>
          <w:bCs/>
          <w:color w:val="103657"/>
        </w:rPr>
        <w:t xml:space="preserve">Allegati documentali</w:t>
      </w:r>
    </w:p>
    <w:p>
      <w:pPr>
        <w:spacing w:after="120" w:before="0" w:line="276"/>
      </w:pPr>
      <w:r>
        <w:t xml:space="preserve">Gli allegati vengono trasmessi inline nell’array documents[], codificati in Base64. Dimensione massima per allegato (decodificato): 10 MB.</w:t>
      </w:r>
    </w:p>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JSON — ARRAY DOCUMENTS</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"documents":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"filename": "visura_camerale_rossi.pdf",</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"mime_type": "application/pdf",</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"content_base64": "JVBERi0xLjQKJeLjz9MKMyAwIG9iago..."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"filename": "documento_identita_rossi.pdf",</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"mime_type": "application/pdf",</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"content_base64": "JVBERi0xLjcKJcfsj6IKNSAwIG9iago..."</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p>
      <w:pPr>
        <w:spacing w:after="80" w:before="200"/>
      </w:pPr>
      <w:r>
        <w:rPr>
          <w:b/>
          <w:bCs/>
          <w:color w:val="103657"/>
          <w:sz w:val="22"/>
          <w:szCs w:val="22"/>
        </w:rPr>
        <w:t xml:space="preserve">Campi di ogni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tblHeader/>
        </w:trPr>
        <w:tc>
          <w:tcPr>
            <w:tcW w:type="dxa" w:w="23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Campo</w:t>
            </w:r>
          </w:p>
        </w:tc>
        <w:tc>
          <w:tcPr>
            <w:tcW w:type="dxa" w:w="11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Tipo</w:t>
            </w:r>
          </w:p>
        </w:tc>
        <w:tc>
          <w:tcPr>
            <w:tcW w:type="dxa" w:w="9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Obbl.</w:t>
            </w:r>
          </w:p>
        </w:tc>
        <w:tc>
          <w:tcPr>
            <w:tcW w:type="dxa" w:w="47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Descrizione</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filename</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Nome del file. Deve contenere la keyword del documento obbligatorio richiesto dalla tipologia</w:t>
            </w:r>
          </w:p>
        </w:tc>
      </w:tr>
      <w:tr>
        <w:tc>
          <w:tcPr>
            <w:tcW w:type="dxa" w:w="23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mime_type</w:t>
            </w:r>
          </w:p>
        </w:tc>
        <w:tc>
          <w:tcPr>
            <w:tcW w:type="dxa" w:w="11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Tipo MIME ammesso (vedi elenco)</w:t>
            </w:r>
          </w:p>
        </w:tc>
      </w:tr>
      <w:tr>
        <w:tc>
          <w:tcPr>
            <w:tcW w:type="dxa" w:w="23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content_base64</w:t>
            </w:r>
          </w:p>
        </w:tc>
        <w:tc>
          <w:tcPr>
            <w:tcW w:type="dxa" w:w="11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string</w:t>
            </w:r>
          </w:p>
        </w:tc>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Sì</w:t>
            </w:r>
          </w:p>
        </w:tc>
        <w:tc>
          <w:tcPr>
            <w:tcW w:type="dxa" w:w="47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Contenuto del file in Base64 (max 10 MB decodificato)</w:t>
            </w:r>
          </w:p>
        </w:tc>
      </w:tr>
    </w:tbl>
    <w:p>
      <w:pPr>
        <w:spacing w:after="80" w:before="200"/>
      </w:pPr>
      <w:r>
        <w:rPr>
          <w:b/>
          <w:bCs/>
          <w:color w:val="103657"/>
          <w:sz w:val="22"/>
          <w:szCs w:val="22"/>
        </w:rPr>
        <w:t xml:space="preserve">Tipi MIME ammessi</w:t>
      </w:r>
    </w:p>
    <w:p>
      <w:pPr>
        <w:spacing w:after="120" w:before="0" w:line="276"/>
      </w:pPr>
      <w:r>
        <w:rPr>
          <w:rFonts w:ascii="Consolas" w:cs="Consolas" w:eastAsia="Consolas" w:hAnsi="Consolas"/>
          <w:color w:val="103657"/>
          <w:sz w:val="18"/>
          <w:szCs w:val="18"/>
        </w:rPr>
        <w:t xml:space="preserve">application/pdf · image/jpeg · image/png · application/vnd.openxmlformats-officedocument.wordprocessingml.document (.docx)</w:t>
      </w:r>
    </w:p>
    <w:p>
      <w:pPr>
        <w:spacing w:after="120" w:before="0" w:line="276"/>
      </w:pPr>
      <w:r>
        <w:rPr>
          <w:sz w:val="20"/>
          <w:szCs w:val="20"/>
        </w:rPr>
        <w:t xml:space="preserve">Un MIME non incluso restituisce </w:t>
      </w:r>
      <w:r>
        <w:rPr>
          <w:rFonts w:ascii="Consolas" w:cs="Consolas" w:eastAsia="Consolas" w:hAnsi="Consolas"/>
          <w:color w:val="103657"/>
          <w:sz w:val="18"/>
          <w:szCs w:val="18"/>
        </w:rPr>
        <w:t xml:space="preserve">422</w:t>
      </w:r>
      <w:r>
        <w:rPr>
          <w:sz w:val="20"/>
          <w:szCs w:val="20"/>
        </w:rPr>
        <w:t xml:space="preserve">.</w:t>
      </w:r>
    </w:p>
    <w:p>
      <w:pPr>
        <w:spacing w:after="80" w:before="200"/>
      </w:pPr>
      <w:r>
        <w:rPr>
          <w:b/>
          <w:bCs/>
          <w:color w:val="103657"/>
          <w:sz w:val="22"/>
          <w:szCs w:val="22"/>
        </w:rPr>
        <w:t xml:space="preserve">Documenti obbligatori per tipologia</w:t>
      </w:r>
    </w:p>
    <w:p>
      <w:pPr>
        <w:spacing w:after="120" w:before="0" w:line="276"/>
      </w:pPr>
      <w:r>
        <w:rPr>
          <w:sz w:val="20"/>
          <w:szCs w:val="20"/>
        </w:rPr>
        <w:t xml:space="preserve">La presenza dei documenti obbligatori è verificata cercando la keyword nel nome del file. Se mancano, l’endpoint risponde </w:t>
      </w:r>
      <w:r>
        <w:rPr>
          <w:rFonts w:ascii="Consolas" w:cs="Consolas" w:eastAsia="Consolas" w:hAnsi="Consolas"/>
          <w:color w:val="103657"/>
          <w:sz w:val="18"/>
          <w:szCs w:val="18"/>
        </w:rPr>
        <w:t xml:space="preserve">422</w:t>
      </w:r>
      <w:r>
        <w:rPr>
          <w:sz w:val="20"/>
          <w:szCs w:val="20"/>
        </w:rPr>
        <w:t xml:space="preserve"> con error: "missing_required_documents".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Tipo pratica</w:t>
            </w:r>
          </w:p>
        </w:tc>
        <w:tc>
          <w:tcPr>
            <w:tcW w:type="dxa" w:w="64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Keyword richieste nei nomi file</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car</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preventivo_o_contratto, visura_camerale</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casa</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visura_catastale, documento_identita</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fidejussioni</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visura_camerale, bilancio_ultimo_anno, documento_identita_legale_rappresentante</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rc</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visura_camerale, documento_identita</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pet</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libretto_sanitario_o_microchip</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fotovoltaico</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progetto_impianto, visura_camerale</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catastrofali</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perizia_immobile, visura_catastale</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azienda</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visura_camerale, bilancio</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postuma_decennale</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collaudo_statico, progetto_esecutivo, visura_camerale</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all_risk</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lista_macchinari, visura_camerale</w:t>
            </w:r>
          </w:p>
        </w:tc>
      </w:tr>
      <w:tr>
        <w:tc>
          <w:tcPr>
            <w:tcW w:type="dxa" w:w="2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risparmio</w:t>
            </w:r>
          </w:p>
        </w:tc>
        <w:tc>
          <w:tcPr>
            <w:tcW w:type="dxa" w:w="6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documento_identita, profilo_rischio_mifid</w:t>
            </w:r>
          </w:p>
        </w:tc>
      </w:tr>
      <w:tr>
        <w:tc>
          <w:tcPr>
            <w:tcW w:type="dxa" w:w="2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salute</w:t>
            </w:r>
          </w:p>
        </w:tc>
        <w:tc>
          <w:tcPr>
            <w:tcW w:type="dxa" w:w="6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documento_identita, questionario_sanitario</w:t>
            </w:r>
          </w:p>
        </w:tc>
      </w:tr>
    </w:tbl>
    <w:p>
      <w:r>
        <w:br w:type="page"/>
      </w:r>
    </w:p>
    <w:p>
      <w:pPr>
        <w:pStyle w:val="Heading2"/>
        <w:pBdr>
          <w:bottom w:val="single" w:color="AC7E59" w:sz="6" w:space="2"/>
        </w:pBdr>
        <w:spacing w:after="160" w:before="320"/>
      </w:pPr>
      <w:r>
        <w:rPr>
          <w:b/>
          <w:bCs/>
          <w:color w:val="AC7E59"/>
        </w:rPr>
        <w:t xml:space="preserve">08   </w:t>
      </w:r>
      <w:r>
        <w:rPr>
          <w:b/>
          <w:bCs/>
          <w:color w:val="103657"/>
        </w:rPr>
        <w:t xml:space="preserve">Regola real-time al salvataggio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F59E0B" w:sz="24"/>
              <w:bottom w:val="none" w:color="FFFFFF" w:sz="0"/>
              <w:right w:val="none" w:color="FFFFFF" w:sz="0"/>
            </w:tcBorders>
            <w:shd w:fill="FFFBEB" w:val="clear"/>
            <w:tcMar>
              <w:top w:type="dxa" w:w="120"/>
              <w:left w:type="dxa" w:w="160"/>
              <w:bottom w:type="dxa" w:w="120"/>
              <w:right w:type="dxa" w:w="160"/>
            </w:tcMar>
          </w:tcPr>
          <w:p>
            <w:pPr>
              <w:spacing w:after="40"/>
            </w:pPr>
            <w:r>
              <w:rPr>
                <w:b/>
                <w:bCs/>
                <w:color w:val="103657"/>
              </w:rPr>
              <w:t xml:space="preserve">Invio obbligatorio in tempo reale</w:t>
            </w:r>
          </w:p>
          <w:p>
            <w:pPr>
              <w:spacing w:after="0" w:line="270"/>
            </w:pPr>
            <w:r>
              <w:rPr>
                <w:color w:val="1F2733"/>
                <w:sz w:val="20"/>
                <w:szCs w:val="20"/>
              </w:rPr>
              <w:t xml:space="preserve">Ogni salvataggio di pratica nel portale mittente deve generare immediatamente la chiamata webhook corrispondente. Non è ammesso invio batch differito o manuale.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26"/>
        <w:gridCol w:w="2900"/>
      </w:tblGrid>
      <w:tr>
        <w:trPr>
          <w:tblHeader/>
        </w:trPr>
        <w:tc>
          <w:tcPr>
            <w:tcW w:type="dxa" w:w="28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Evento nel portale</w:t>
            </w:r>
          </w:p>
        </w:tc>
        <w:tc>
          <w:tcPr>
            <w:tcW w:type="dxa" w:w="33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Azione richiesta</w:t>
            </w:r>
          </w:p>
        </w:tc>
        <w:tc>
          <w:tcPr>
            <w:tcW w:type="dxa" w:w="29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Esito lato MGA</w:t>
            </w:r>
          </w:p>
        </w:tc>
      </w:tr>
      <w:tr>
        <w:tc>
          <w:tcPr>
            <w:tcW w:type="dxa" w:w="28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Nuova pratica salvata</w:t>
            </w:r>
          </w:p>
        </w:tc>
        <w:tc>
          <w:tcPr>
            <w:tcW w:type="dxa" w:w="33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POST webhook con dati completi + eventuali allegati</w:t>
            </w:r>
          </w:p>
        </w:tc>
        <w:tc>
          <w:tcPr>
            <w:tcW w:type="dxa" w:w="2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Crea una nuova pratica in stato in_lavorazione</w:t>
            </w:r>
          </w:p>
        </w:tc>
      </w:tr>
      <w:tr>
        <w:tc>
          <w:tcPr>
            <w:tcW w:type="dxa" w:w="28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Reinvio della stessa pratica</w:t>
            </w:r>
          </w:p>
        </w:tc>
        <w:tc>
          <w:tcPr>
            <w:tcW w:type="dxa" w:w="33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POST con la stessa X-Idempotency-Key / idempotency_key</w:t>
            </w:r>
          </w:p>
        </w:tc>
        <w:tc>
          <w:tcPr>
            <w:tcW w:type="dxa" w:w="2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Nessun duplicato: ritorna la pratica esistente con duplicate: true</w:t>
            </w:r>
          </w:p>
        </w:tc>
      </w:tr>
      <w:tr>
        <w:tc>
          <w:tcPr>
            <w:tcW w:type="dxa" w:w="28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Pratica con documenti</w:t>
            </w:r>
          </w:p>
        </w:tc>
        <w:tc>
          <w:tcPr>
            <w:tcW w:type="dxa" w:w="33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POST con array documents[] valorizzato</w:t>
            </w:r>
          </w:p>
        </w:tc>
        <w:tc>
          <w:tcPr>
            <w:tcW w:type="dxa" w:w="2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I file vengono caricati nello storage e collegati alla pratica</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F59E0B" w:sz="24"/>
              <w:bottom w:val="none" w:color="FFFFFF" w:sz="0"/>
              <w:right w:val="none" w:color="FFFFFF" w:sz="0"/>
            </w:tcBorders>
            <w:shd w:fill="FFFBEB" w:val="clear"/>
            <w:tcMar>
              <w:top w:type="dxa" w:w="120"/>
              <w:left w:type="dxa" w:w="160"/>
              <w:bottom w:type="dxa" w:w="120"/>
              <w:right w:type="dxa" w:w="160"/>
            </w:tcMar>
          </w:tcPr>
          <w:p>
            <w:pPr>
              <w:spacing w:after="40"/>
            </w:pPr>
            <w:r>
              <w:rPr>
                <w:b/>
                <w:bCs/>
                <w:color w:val="103657"/>
              </w:rPr>
              <w:t xml:space="preserve">Nota sul comportamento</w:t>
            </w:r>
          </w:p>
          <w:p>
            <w:pPr>
              <w:spacing w:after="0" w:line="270"/>
            </w:pPr>
            <w:r>
              <w:rPr>
                <w:color w:val="1F2733"/>
                <w:sz w:val="20"/>
                <w:szCs w:val="20"/>
              </w:rPr>
              <w:t xml:space="preserve">L’endpoint non gestisce operazioni di aggiornamento o annullamento: ogni chiamata valida priva di una idempotency key già nota crea una nuova pratica. Per evitare duplicati nei retry, riusa sempre la stessa chiave di idempotenza.</w:t>
            </w:r>
          </w:p>
        </w:tc>
      </w:tr>
    </w:tbl>
    <w:p>
      <w:pPr>
        <w:pStyle w:val="Heading2"/>
        <w:pBdr>
          <w:bottom w:val="single" w:color="AC7E59" w:sz="6" w:space="2"/>
        </w:pBdr>
        <w:spacing w:after="160" w:before="320"/>
      </w:pPr>
      <w:r>
        <w:rPr>
          <w:b/>
          <w:bCs/>
          <w:color w:val="AC7E59"/>
        </w:rPr>
        <w:t xml:space="preserve">09   </w:t>
      </w:r>
      <w:r>
        <w:rPr>
          <w:b/>
          <w:bCs/>
          <w:color w:val="103657"/>
        </w:rPr>
        <w:t xml:space="preserve">Risposte e codici HTTP</w:t>
      </w:r>
    </w:p>
    <w:p>
      <w:pPr>
        <w:spacing w:after="120" w:before="0" w:line="276"/>
      </w:pPr>
      <w:r>
        <w:rPr>
          <w:sz w:val="20"/>
          <w:szCs w:val="20"/>
        </w:rPr>
        <w:t xml:space="preserve">In caso di acquisizione corretta l’endpoint risponde con </w:t>
      </w:r>
      <w:r>
        <w:rPr>
          <w:rFonts w:ascii="Consolas" w:cs="Consolas" w:eastAsia="Consolas" w:hAnsi="Consolas"/>
          <w:color w:val="103657"/>
          <w:sz w:val="18"/>
          <w:szCs w:val="18"/>
        </w:rPr>
        <w:t xml:space="preserve">200 OK</w:t>
      </w:r>
      <w:r>
        <w:rPr>
          <w:sz w:val="20"/>
          <w:szCs w:val="20"/>
        </w:rPr>
        <w:t xml:space="preserve"> e un corpo JSON di conferma con l’identificativo interno e il numero pratica assegnato (formato PR-YYYY-NNNN).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22C55E" w:sz="24"/>
              <w:bottom w:val="none" w:color="FFFFFF" w:sz="0"/>
              <w:right w:val="none" w:color="FFFFFF" w:sz="0"/>
            </w:tcBorders>
            <w:shd w:fill="F0FDF4" w:val="clear"/>
            <w:tcMar>
              <w:top w:type="dxa" w:w="120"/>
              <w:left w:type="dxa" w:w="160"/>
              <w:bottom w:type="dxa" w:w="120"/>
              <w:right w:type="dxa" w:w="160"/>
            </w:tcMar>
          </w:tcPr>
          <w:p>
            <w:pPr>
              <w:spacing w:after="40"/>
            </w:pPr>
            <w:r>
              <w:rPr>
                <w:b/>
                <w:bCs/>
                <w:color w:val="103657"/>
              </w:rPr>
              <w:t xml:space="preserve">200 OK — Pratica creata correttamente</w:t>
            </w:r>
          </w:p>
          <w:p>
            <w:pPr>
              <w:spacing w:after="0" w:line="270"/>
            </w:pPr>
            <w:r>
              <w:rPr>
                <w:color w:val="1F2733"/>
                <w:sz w:val="20"/>
                <w:szCs w:val="20"/>
              </w:rPr>
              <w:t xml:space="preserve">La presenza di "success": true conferma l’acquisizione. Salva practice_id e practice_number per le riconciliazioni successive.</w:t>
            </w:r>
          </w:p>
        </w:tc>
      </w:tr>
    </w:tbl>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JSON — RISPOSTA DI SUCCESSO</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"success": true,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"practice_id": "8f3a2c91-d4e7-4b6a-9c12-7e5f0a1b2c3d",</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"practice_number": "PR-2026-1234",</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"message": "Pratica creata con successo."</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p>
      <w:pPr>
        <w:pBdr>
          <w:left w:val="single" w:color="AC7E59" w:sz="18" w:space="4"/>
        </w:pBdr>
        <w:shd w:fill="11151F" w:val="clear"/>
        <w:spacing w:after="0" w:before="160" w:line="240"/>
      </w:pPr>
      <w:r>
        <w:rPr>
          <w:rFonts w:ascii="Consolas" w:cs="Consolas" w:eastAsia="Consolas" w:hAnsi="Consolas"/>
          <w:b/>
          <w:bCs/>
          <w:color w:val="8FE3CF"/>
          <w:sz w:val="15"/>
          <w:szCs w:val="15"/>
        </w:rPr>
        <w:t xml:space="preserve">JSON — IDEMPOTENCY KEY GIÀ VISTA</w:t>
      </w:r>
    </w:p>
    <w:p>
      <w:pPr>
        <w:pBdr>
          <w:top w:val="single" w:color="1A1F2E" w:sz="2" w:space="2"/>
          <w:left w:val="single" w:color="AC7E59" w:sz="18" w:space="4"/>
        </w:pBdr>
        <w:shd w:fill="1A1F2E" w:val="clear"/>
        <w:spacing w:after="0" w:before="0" w:line="252"/>
      </w:pPr>
      <w:r>
        <w:rPr>
          <w:rFonts w:ascii="Consolas" w:cs="Consolas" w:eastAsia="Consolas" w:hAnsi="Consolas"/>
          <w:color w:val="E2E8F0"/>
          <w:sz w:val="17"/>
          <w:szCs w:val="17"/>
        </w:rPr>
        <w:t xml:space="preserv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"success": true,</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"practice_id": "8f3a2c91-d4e7-4b6a-9c12-7e5f0a1b2c3d",</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"practice_number": "PR-2026-1234",</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"message": "Pratica gia esistente (idempotency key riconosciuta).",</w:t>
      </w:r>
    </w:p>
    <w:p>
      <w:pPr>
        <w:pBdr>
          <w:top w:val="none" w:color="FFFFFF" w:sz="0"/>
          <w:left w:val="single" w:color="AC7E59" w:sz="18" w:space="4"/>
        </w:pBdr>
        <w:shd w:fill="1A1F2E" w:val="clear"/>
        <w:spacing w:after="0" w:before="0" w:line="252"/>
      </w:pPr>
      <w:r>
        <w:rPr>
          <w:rFonts w:ascii="Consolas" w:cs="Consolas" w:eastAsia="Consolas" w:hAnsi="Consolas"/>
          <w:color w:val="E2E8F0"/>
          <w:sz w:val="17"/>
          <w:szCs w:val="17"/>
        </w:rPr>
        <w:t xml:space="preserve">  "duplicate": true</w:t>
      </w:r>
    </w:p>
    <w:p>
      <w:pPr>
        <w:pBdr>
          <w:left w:val="single" w:color="AC7E59" w:sz="18" w:space="4"/>
        </w:pBdr>
        <w:shd w:fill="1A1F2E" w:val="clear"/>
        <w:spacing w:after="200" w:before="0" w:line="252"/>
      </w:pPr>
      <w:r>
        <w:rPr>
          <w:rFonts w:ascii="Consolas" w:cs="Consolas" w:eastAsia="Consolas" w:hAnsi="Consolas"/>
          <w:color w:val="E2E8F0"/>
          <w:sz w:val="17"/>
          <w:szCs w:val="17"/>
        </w:rPr>
        <w:t xml:space="preserve">}</w:t>
      </w:r>
    </w:p>
    <w:p>
      <w:pPr>
        <w:spacing w:after="120" w:before="0" w:line="276"/>
      </w:pPr>
      <w:r>
        <w:rPr>
          <w:sz w:val="20"/>
          <w:szCs w:val="20"/>
        </w:rPr>
        <w:t xml:space="preserve">Le risposte di errore hanno sempre la forma </w:t>
      </w:r>
      <w:r>
        <w:rPr>
          <w:rFonts w:ascii="Consolas" w:cs="Consolas" w:eastAsia="Consolas" w:hAnsi="Consolas"/>
          <w:color w:val="103657"/>
          <w:sz w:val="18"/>
          <w:szCs w:val="18"/>
        </w:rPr>
        <w:t xml:space="preserve">{ "error": "..." }</w:t>
      </w:r>
      <w:r>
        <w:rPr>
          <w:sz w:val="20"/>
          <w:szCs w:val="20"/>
        </w:rPr>
        <w:t xml:space="preserve">, con campi aggiuntivi a seconda del caso (missing_fields, valid_types, missing, allowed_types, retry_after).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3000"/>
      </w:tblGrid>
      <w:tr>
        <w:trPr>
          <w:tblHeader/>
        </w:trPr>
        <w:tc>
          <w:tcPr>
            <w:tcW w:type="dxa" w:w="9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HTTP</w:t>
            </w:r>
          </w:p>
        </w:tc>
        <w:tc>
          <w:tcPr>
            <w:tcW w:type="dxa" w:w="51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Significato</w:t>
            </w:r>
          </w:p>
        </w:tc>
        <w:tc>
          <w:tcPr>
            <w:tcW w:type="dxa" w:w="30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Azione mittente</w:t>
            </w:r>
          </w:p>
        </w:tc>
      </w:tr>
      <w:tr>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200</w:t>
            </w:r>
          </w:p>
        </w:tc>
        <w:tc>
          <w:tcPr>
            <w:tcW w:type="dxa" w:w="51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Pratica creata, oppure già esistente (duplicate: true)</w:t>
            </w:r>
          </w:p>
        </w:tc>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Salvare practice_id / practice_number</w:t>
            </w:r>
          </w:p>
        </w:tc>
      </w:tr>
      <w:tr>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B42318"/>
                <w:sz w:val="19"/>
                <w:szCs w:val="19"/>
              </w:rPr>
              <w:t xml:space="preserve">401</w:t>
            </w:r>
          </w:p>
        </w:tc>
        <w:tc>
          <w:tcPr>
            <w:tcW w:type="dxa" w:w="51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X-API-Key mancante/non valida/scaduta, oppure firma HMAC mancante/non valida</w:t>
            </w:r>
          </w:p>
        </w:tc>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Verificare credenziali e ricalcolo firma</w:t>
            </w:r>
          </w:p>
        </w:tc>
      </w:tr>
      <w:tr>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B42318"/>
                <w:sz w:val="19"/>
                <w:szCs w:val="19"/>
              </w:rPr>
              <w:t xml:space="preserve">403</w:t>
            </w:r>
          </w:p>
        </w:tc>
        <w:tc>
          <w:tcPr>
            <w:tcW w:type="dxa" w:w="51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IP non autorizzato (se attiva la whitelist ALLOWED_IPS)</w:t>
            </w:r>
          </w:p>
        </w:tc>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Richiedere l’inserimento dell’IP in whitelist</w:t>
            </w:r>
          </w:p>
        </w:tc>
      </w:tr>
      <w:tr>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B42318"/>
                <w:sz w:val="19"/>
                <w:szCs w:val="19"/>
              </w:rPr>
              <w:t xml:space="preserve">405</w:t>
            </w:r>
          </w:p>
        </w:tc>
        <w:tc>
          <w:tcPr>
            <w:tcW w:type="dxa" w:w="51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Metodo diverso da POST</w:t>
            </w:r>
          </w:p>
        </w:tc>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Utilizzare POST</w:t>
            </w:r>
          </w:p>
        </w:tc>
      </w:tr>
      <w:tr>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B54708"/>
                <w:sz w:val="19"/>
                <w:szCs w:val="19"/>
              </w:rPr>
              <w:t xml:space="preserve">422</w:t>
            </w:r>
          </w:p>
        </w:tc>
        <w:tc>
          <w:tcPr>
            <w:tcW w:type="dxa" w:w="51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Validazione fallita: campi obbligatori, practice_type, documenti, MIME o dimensione</w:t>
            </w:r>
          </w:p>
        </w:tc>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Correggere il payload secondo il campo error</w:t>
            </w:r>
          </w:p>
        </w:tc>
      </w:tr>
      <w:tr>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B54708"/>
                <w:sz w:val="19"/>
                <w:szCs w:val="19"/>
              </w:rPr>
              <w:t xml:space="preserve">429</w:t>
            </w:r>
          </w:p>
        </w:tc>
        <w:tc>
          <w:tcPr>
            <w:tcW w:type="dxa" w:w="51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Rate limit superato (max 100 richieste/min per IP)</w:t>
            </w:r>
          </w:p>
        </w:tc>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Attendere l’header Retry-After e ritentare</w:t>
            </w:r>
          </w:p>
        </w:tc>
      </w:tr>
      <w:tr>
        <w:tc>
          <w:tcPr>
            <w:tcW w:type="dxa" w:w="9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B42318"/>
                <w:sz w:val="19"/>
                <w:szCs w:val="19"/>
              </w:rPr>
              <w:t xml:space="preserve">500</w:t>
            </w:r>
          </w:p>
        </w:tc>
        <w:tc>
          <w:tcPr>
            <w:tcW w:type="dxa" w:w="51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Errore interno del ricevente</w:t>
            </w:r>
          </w:p>
        </w:tc>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Ritentare con backoff esponenziale</w:t>
            </w:r>
          </w:p>
        </w:tc>
      </w:tr>
      <w:tr>
        <w:tc>
          <w:tcPr>
            <w:tcW w:type="dxa" w:w="9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B42318"/>
                <w:sz w:val="19"/>
                <w:szCs w:val="19"/>
              </w:rPr>
              <w:t xml:space="preserve">503</w:t>
            </w:r>
          </w:p>
        </w:tc>
        <w:tc>
          <w:tcPr>
            <w:tcW w:type="dxa" w:w="51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Config server incompleta o errore temporaneo del database</w:t>
            </w:r>
          </w:p>
        </w:tc>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Ritentare; se persiste contattare il referente</w:t>
            </w:r>
          </w:p>
        </w:tc>
      </w:tr>
    </w:tbl>
    <w:p>
      <w:r>
        <w:br w:type="page"/>
      </w:r>
    </w:p>
    <w:p>
      <w:pPr>
        <w:pStyle w:val="Heading2"/>
        <w:pBdr>
          <w:bottom w:val="single" w:color="AC7E59" w:sz="6" w:space="2"/>
        </w:pBdr>
        <w:spacing w:after="160" w:before="320"/>
      </w:pPr>
      <w:r>
        <w:rPr>
          <w:b/>
          <w:bCs/>
          <w:color w:val="AC7E59"/>
        </w:rPr>
        <w:t xml:space="preserve">10   </w:t>
      </w:r>
      <w:r>
        <w:rPr>
          <w:b/>
          <w:bCs/>
          <w:color w:val="103657"/>
        </w:rPr>
        <w:t xml:space="preserve">Retry e idempotenza</w:t>
      </w:r>
    </w:p>
    <w:p>
      <w:pPr>
        <w:spacing w:after="120" w:before="0" w:line="276"/>
      </w:pPr>
      <w:r>
        <w:rPr>
          <w:sz w:val="20"/>
          <w:szCs w:val="20"/>
        </w:rPr>
        <w:t xml:space="preserve">La chiave di idempotenza si fornisce tramite l’header </w:t>
      </w:r>
      <w:r>
        <w:rPr>
          <w:rFonts w:ascii="Consolas" w:cs="Consolas" w:eastAsia="Consolas" w:hAnsi="Consolas"/>
          <w:color w:val="103657"/>
          <w:sz w:val="18"/>
          <w:szCs w:val="18"/>
        </w:rPr>
        <w:t xml:space="preserve">X-Idempotency-Key</w:t>
      </w:r>
      <w:r>
        <w:rPr>
          <w:sz w:val="20"/>
          <w:szCs w:val="20"/>
        </w:rPr>
        <w:t xml:space="preserve"> oppure il campo </w:t>
      </w:r>
      <w:r>
        <w:rPr>
          <w:rFonts w:ascii="Consolas" w:cs="Consolas" w:eastAsia="Consolas" w:hAnsi="Consolas"/>
          <w:color w:val="103657"/>
          <w:sz w:val="18"/>
          <w:szCs w:val="18"/>
        </w:rPr>
        <w:t xml:space="preserve">idempotency_key</w:t>
      </w:r>
      <w:r>
        <w:rPr>
          <w:sz w:val="20"/>
          <w:szCs w:val="20"/>
        </w:rPr>
        <w:t xml:space="preserve"> nel body. I reinvii con la stessa chiave non generano duplicati: l’endpoint restituisce la pratica già creata con 200 e duplicate: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Scenario</w:t>
            </w:r>
          </w:p>
        </w:tc>
        <w:tc>
          <w:tcPr>
            <w:tcW w:type="dxa" w:w="60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Strategia</w:t>
            </w:r>
          </w:p>
        </w:tc>
      </w:tr>
      <w:tr>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Timeout o nessuna risposta</w:t>
            </w:r>
          </w:p>
        </w:tc>
        <w:tc>
          <w:tcPr>
            <w:tcW w:type="dxa" w:w="60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Retry con backoff esponenziale: 1s, 2s, 4s, 8s, 16s (max 5 tentativi), riusando la stessa chiave di idempotenza</w:t>
            </w:r>
          </w:p>
        </w:tc>
      </w:tr>
      <w:tr>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Risposta 500 / 503</w:t>
            </w:r>
          </w:p>
        </w:tc>
        <w:tc>
          <w:tcPr>
            <w:tcW w:type="dxa" w:w="60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Retry con backoff esponenziale, stessa chiave di idempotenza</w:t>
            </w:r>
          </w:p>
        </w:tc>
      </w:tr>
      <w:tr>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Risposta 429</w:t>
            </w:r>
          </w:p>
        </w:tc>
        <w:tc>
          <w:tcPr>
            <w:tcW w:type="dxa" w:w="60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Attendere e ritentare rispettando l’header Retry-After</w:t>
            </w:r>
          </w:p>
        </w:tc>
      </w:tr>
      <w:tr>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Risposta 200 con duplicate: true</w:t>
            </w:r>
          </w:p>
        </w:tc>
        <w:tc>
          <w:tcPr>
            <w:tcW w:type="dxa" w:w="60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Pratica già acquisita: interrompere i retry</w:t>
            </w:r>
          </w:p>
        </w:tc>
      </w:tr>
      <w:tr>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Risposta 401 (firma)</w:t>
            </w:r>
          </w:p>
        </w:tc>
        <w:tc>
          <w:tcPr>
            <w:tcW w:type="dxa" w:w="60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Errore di firma: ricalcolare l’HMAC sul body esatto inviato, non ritentare in loop</w:t>
            </w:r>
          </w:p>
        </w:tc>
      </w:tr>
      <w:tr>
        <w:tc>
          <w:tcPr>
            <w:tcW w:type="dxa" w:w="30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Risposta 422</w:t>
            </w:r>
          </w:p>
        </w:tc>
        <w:tc>
          <w:tcPr>
            <w:tcW w:type="dxa" w:w="60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Errore permanente di validazione: correggere i campi indicati in error, non ritentare invariato</w:t>
            </w:r>
          </w:p>
        </w:tc>
      </w:tr>
      <w:tr>
        <w:tc>
          <w:tcPr>
            <w:tcW w:type="dxa" w:w="30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Reinvio della stessa pratica</w:t>
            </w:r>
          </w:p>
        </w:tc>
        <w:tc>
          <w:tcPr>
            <w:tcW w:type="dxa" w:w="60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Mantenere identica la X-Idempotency-Key per garantire l’idempotenza</w:t>
            </w:r>
          </w:p>
        </w:tc>
      </w:tr>
    </w:tbl>
    <w:p>
      <w:pPr>
        <w:pStyle w:val="Heading2"/>
        <w:pBdr>
          <w:bottom w:val="single" w:color="AC7E59" w:sz="6" w:space="2"/>
        </w:pBdr>
        <w:spacing w:after="160" w:before="320"/>
      </w:pPr>
      <w:r>
        <w:rPr>
          <w:b/>
          <w:bCs/>
          <w:color w:val="AC7E59"/>
        </w:rPr>
        <w:t xml:space="preserve">11   </w:t>
      </w:r>
      <w:r>
        <w:rPr>
          <w:b/>
          <w:bCs/>
          <w:color w:val="103657"/>
        </w:rPr>
        <w:t xml:space="preserve">Checklist pre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tblHeader/>
        </w:trPr>
        <w:tc>
          <w:tcPr>
            <w:tcW w:type="dxa" w:w="7426"/>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Controllo</w:t>
            </w:r>
          </w:p>
        </w:tc>
        <w:tc>
          <w:tcPr>
            <w:tcW w:type="dxa" w:w="1600"/>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Stato</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Credenziali (X-API-Key, WEBHOOK_SECRET) salvate solo lato backend</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Firma HMAC calcolata sul body JSON esatto (compatto) e header X-Signature: sha256=…</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Nessun header X-Timestamp inviato (non previsto)</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Campi obbligatori source, practice_type, client_name, client_email, client_phone valorizzati</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practice_type incluso tra i valori ammessi</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Nomi file allegati contengono le keyword obbligatorie per la tipologia</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Allegati con MIME ammesso e dimensione ≤ 10 MB</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Invio real-time agganciato all’evento di salvataggio</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X-Idempotency-Key impostata e riutilizzata sui retry</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Gestione risposta 200 (success e duplicate) con persistenza di practice_id</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Retry con backoff su 5xx/timeout, rispetto di Retry-After su 429</w:t>
            </w:r>
          </w:p>
        </w:tc>
        <w:tc>
          <w:tcPr>
            <w:tcW w:type="dxa" w:w="1600"/>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r>
        <w:tc>
          <w:tcPr>
            <w:tcW w:type="dxa" w:w="7426"/>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Test end-to-end completato in ambiente di staging</w:t>
            </w:r>
          </w:p>
        </w:tc>
        <w:tc>
          <w:tcPr>
            <w:tcW w:type="dxa" w:w="1600"/>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b/>
                <w:bCs/>
                <w:color w:val="1A7F37"/>
                <w:sz w:val="19"/>
                <w:szCs w:val="19"/>
              </w:rPr>
              <w:t xml:space="preserve">✓ </w:t>
            </w:r>
            <w:r>
              <w:rPr>
                <w:color w:val="1F2733"/>
                <w:sz w:val="19"/>
                <w:szCs w:val="19"/>
              </w:rPr>
              <w:t xml:space="preserve">da verificare</w:t>
            </w:r>
          </w:p>
        </w:tc>
      </w:tr>
    </w:tbl>
    <w:p>
      <w:r>
        <w:br w:type="page"/>
      </w:r>
    </w:p>
    <w:p>
      <w:pPr>
        <w:pStyle w:val="Heading2"/>
        <w:pBdr>
          <w:bottom w:val="single" w:color="AC7E59" w:sz="6" w:space="2"/>
        </w:pBdr>
        <w:spacing w:after="160" w:before="320"/>
      </w:pPr>
      <w:r>
        <w:rPr>
          <w:b/>
          <w:bCs/>
          <w:color w:val="AC7E59"/>
        </w:rPr>
        <w:t xml:space="preserve">12   </w:t>
      </w:r>
      <w:r>
        <w:rPr>
          <w:b/>
          <w:bCs/>
          <w:color w:val="103657"/>
        </w:rPr>
        <w:t xml:space="preserve">Contatti e sicurezza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Ruolo</w:t>
            </w:r>
          </w:p>
        </w:tc>
        <w:tc>
          <w:tcPr>
            <w:tcW w:type="dxa" w:w="4513"/>
            <w:tcBorders>
              <w:top w:val="single" w:color="D9DEE7" w:sz="1"/>
              <w:left w:val="single" w:color="D9DEE7" w:sz="1"/>
              <w:bottom w:val="single" w:color="D9DEE7" w:sz="1"/>
              <w:right w:val="single" w:color="D9DEE7" w:sz="1"/>
            </w:tcBorders>
            <w:shd w:fill="103657" w:val="clear"/>
            <w:tcMar>
              <w:top w:type="dxa" w:w="80"/>
              <w:left w:type="dxa" w:w="120"/>
              <w:bottom w:type="dxa" w:w="80"/>
              <w:right w:type="dxa" w:w="120"/>
            </w:tcMar>
            <w:vAlign w:val="center"/>
          </w:tcPr>
          <w:p>
            <w:pPr>
              <w:spacing w:after="0"/>
            </w:pPr>
            <w:r>
              <w:rPr>
                <w:b/>
                <w:bCs/>
                <w:color w:val="FFFFFF"/>
                <w:sz w:val="19"/>
                <w:szCs w:val="19"/>
              </w:rPr>
              <w:t xml:space="preserve">Contatto</w:t>
            </w:r>
          </w:p>
        </w:tc>
      </w:tr>
      <w:tr>
        <w:tc>
          <w:tcPr>
            <w:tcW w:type="dxa" w:w="4513"/>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color w:val="1F2733"/>
                <w:sz w:val="19"/>
                <w:szCs w:val="19"/>
              </w:rPr>
              <w:t xml:space="preserve">Referente tecnico integrazione</w:t>
            </w:r>
          </w:p>
        </w:tc>
        <w:tc>
          <w:tcPr>
            <w:tcW w:type="dxa" w:w="4513"/>
            <w:tcBorders>
              <w:top w:val="single" w:color="D9DEE7" w:sz="1"/>
              <w:left w:val="single" w:color="D9DEE7" w:sz="1"/>
              <w:bottom w:val="single" w:color="D9DEE7" w:sz="1"/>
              <w:right w:val="single" w:color="D9DEE7" w:sz="1"/>
            </w:tcBorders>
            <w:shd w:fill="FFFFFF"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antoncarlo@tecnomga.com</w:t>
            </w:r>
          </w:p>
        </w:tc>
      </w:tr>
      <w:tr>
        <w:tc>
          <w:tcPr>
            <w:tcW w:type="dxa" w:w="4513"/>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color w:val="1F2733"/>
                <w:sz w:val="19"/>
                <w:szCs w:val="19"/>
              </w:rPr>
              <w:t xml:space="preserve">Supporto operativo</w:t>
            </w:r>
          </w:p>
        </w:tc>
        <w:tc>
          <w:tcPr>
            <w:tcW w:type="dxa" w:w="4513"/>
            <w:tcBorders>
              <w:top w:val="single" w:color="D9DEE7" w:sz="1"/>
              <w:left w:val="single" w:color="D9DEE7" w:sz="1"/>
              <w:bottom w:val="single" w:color="D9DEE7" w:sz="1"/>
              <w:right w:val="single" w:color="D9DEE7" w:sz="1"/>
            </w:tcBorders>
            <w:shd w:fill="F2F4F7" w:val="clear"/>
            <w:tcMar>
              <w:top w:type="dxa" w:w="70"/>
              <w:left w:type="dxa" w:w="120"/>
              <w:bottom w:type="dxa" w:w="70"/>
              <w:right w:type="dxa" w:w="120"/>
            </w:tcMar>
            <w:vAlign w:val="center"/>
          </w:tcPr>
          <w:p>
            <w:pPr>
              <w:spacing w:after="0" w:line="264"/>
            </w:pPr>
            <w:r>
              <w:rPr>
                <w:rFonts w:ascii="Consolas" w:cs="Consolas" w:eastAsia="Consolas" w:hAnsi="Consolas"/>
                <w:color w:val="103657"/>
                <w:sz w:val="18"/>
                <w:szCs w:val="18"/>
              </w:rPr>
              <w:t xml:space="preserve">info@tecnomga.com</w:t>
            </w:r>
          </w:p>
        </w:tc>
      </w:tr>
    </w:tbl>
    <w:p>
      <w:pPr>
        <w:spacing w:after="6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EF4444" w:sz="24"/>
              <w:bottom w:val="none" w:color="FFFFFF" w:sz="0"/>
              <w:right w:val="none" w:color="FFFFFF" w:sz="0"/>
            </w:tcBorders>
            <w:shd w:fill="FEF2F2" w:val="clear"/>
            <w:tcMar>
              <w:top w:type="dxa" w:w="120"/>
              <w:left w:type="dxa" w:w="160"/>
              <w:bottom w:type="dxa" w:w="120"/>
              <w:right w:type="dxa" w:w="160"/>
            </w:tcMar>
          </w:tcPr>
          <w:p>
            <w:pPr>
              <w:spacing w:after="40"/>
            </w:pPr>
            <w:r>
              <w:rPr>
                <w:b/>
                <w:bCs/>
                <w:color w:val="103657"/>
              </w:rPr>
              <w:t xml:space="preserve">Trattamento delle credenziali</w:t>
            </w:r>
          </w:p>
          <w:p>
            <w:pPr>
              <w:spacing w:after="0" w:line="270"/>
            </w:pPr>
            <w:r>
              <w:rPr>
                <w:color w:val="1F2733"/>
                <w:sz w:val="20"/>
                <w:szCs w:val="20"/>
              </w:rPr>
              <w:t xml:space="preserve">X-API-Key e WEBHOOK_SECRET sono segreti riservati. Devono risiedere esclusivamente nel backend del portale mittente, archiviati come variabili d’ambiente o in un secret manager. Non vanno mai inseriti nel codice frontend, in URL, nei log, nelle email in chiaro o in repository pubblici. In caso di sospetta compromissione, contatta immediatamente il referente tecnico per la rotazione delle chiavi.</w:t>
            </w:r>
          </w:p>
        </w:tc>
      </w:tr>
    </w:tbl>
    <w:sectPr>
      <w:headerReference w:type="default" r:id="rId7"/>
      <w:footerReference w:type="default" r:id="rId8"/>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7" w:sz="4" w:space="4"/>
      </w:pBdr>
      <w:tabs>
        <w:tab w:val="center" w:pos="4513"/>
        <w:tab w:val="right" w:pos="9026"/>
      </w:tabs>
    </w:pPr>
    <w:r>
      <w:rPr>
        <w:color w:val="5A6473"/>
        <w:sz w:val="15"/>
        <w:szCs w:val="15"/>
      </w:rPr>
      <w:t xml:space="preserve">© Tecno Advance MGA Broker S.r.l. — Documento riservato</w:t>
    </w:r>
    <w:r>
      <w:rPr>
        <w:color w:val="5A6473"/>
        <w:sz w:val="15"/>
        <w:szCs w:val="15"/>
      </w:rPr>
      <w:t xml:space="preserve">	Pagina </w:t>
    </w:r>
    <w:r>
      <w:rPr>
        <w:color w:val="5A6473"/>
        <w:sz w:val="15"/>
        <w:szCs w:val="15"/>
      </w:rPr>
      <w:fldChar w:fldCharType="begin"/>
      <w:instrText xml:space="preserve">PAGE</w:instrText>
      <w:fldChar w:fldCharType="separate"/>
      <w:fldChar w:fldCharType="end"/>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tabs>
        <w:tab w:val="right" w:pos="9026"/>
      </w:tabs>
      <w:spacing w:after="80"/>
    </w:pPr>
    <w:r>
      <w:rPr>
        <w:b/>
        <w:bCs/>
        <w:color w:val="103657"/>
        <w:sz w:val="16"/>
        <w:szCs w:val="16"/>
      </w:rPr>
      <w:t xml:space="preserve">TECNO ADVANCE MGA</w:t>
    </w:r>
    <w:r>
      <w:rPr>
        <w:color w:val="5A6473"/>
        <w:sz w:val="15"/>
        <w:szCs w:val="15"/>
      </w:rPr>
      <w:t xml:space="preserve">	Guida Integrazione API — Policy Portal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AC7E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03657"/>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036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c505e5cf8fab39a1887efd09b0dc0e52c7e2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all'Integrazione API — Policy Portal Pro</dc:title>
  <dc:creator>Tecno Advance MGA Broker S.r.l.</dc:creator>
  <cp:lastModifiedBy>Un-named</cp:lastModifiedBy>
  <cp:revision>1</cp:revision>
  <dcterms:created xsi:type="dcterms:W3CDTF">2026-06-05T12:17:28.786Z</dcterms:created>
  <dcterms:modified xsi:type="dcterms:W3CDTF">2026-06-05T12:17:28.787Z</dcterms:modified>
</cp:coreProperties>
</file>

<file path=docProps/custom.xml><?xml version="1.0" encoding="utf-8"?>
<Properties xmlns="http://schemas.openxmlformats.org/officeDocument/2006/custom-properties" xmlns:vt="http://schemas.openxmlformats.org/officeDocument/2006/docPropsVTypes"/>
</file>