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Noto Sans CJK SC"/>
          <w:b/>
          <w:color w:val="2E74B5"/>
          <w:sz w:val="21"/>
        </w:rPr>
        <w:t>需求规格说明书</w:t>
      </w:r>
    </w:p>
    <w:p>
      <w:pPr>
        <w:spacing w:before="0" w:after="100"/>
      </w:pPr>
      <w:r>
        <w:rPr>
          <w:rFonts w:ascii="Calibri" w:hAnsi="Calibri" w:eastAsia="Noto Sans CJK SC"/>
          <w:b/>
          <w:color w:val="000000"/>
          <w:sz w:val="46"/>
        </w:rPr>
        <w:t>溶液导电性相对比较实验</w:t>
      </w:r>
    </w:p>
    <w:p>
      <w:pPr>
        <w:spacing w:before="0" w:after="280"/>
      </w:pPr>
      <w:r>
        <w:rPr>
          <w:rFonts w:ascii="Calibri" w:hAnsi="Calibri" w:eastAsia="Noto Sans CJK SC"/>
          <w:color w:val="666666"/>
          <w:sz w:val="27"/>
        </w:rPr>
        <w:t>树莓派电化学设备应用开发 · 首个 MVP 实验</w:t>
      </w:r>
    </w:p>
    <w:p>
      <w:pPr>
        <w:spacing w:before="0" w:after="40" w:line="252" w:lineRule="auto"/>
      </w:pPr>
      <w:r>
        <w:rPr>
          <w:rFonts w:ascii="Calibri" w:hAnsi="Calibri" w:eastAsia="Noto Sans CJK SC"/>
          <w:b/>
          <w:color w:val="000000"/>
          <w:sz w:val="21"/>
        </w:rPr>
        <w:t>文档编号：</w:t>
      </w:r>
      <w:r>
        <w:rPr>
          <w:rFonts w:ascii="Calibri" w:hAnsi="Calibri" w:eastAsia="Noto Sans CJK SC"/>
          <w:color w:val="000000"/>
          <w:sz w:val="21"/>
        </w:rPr>
        <w:t>EXP-EC-001</w:t>
      </w:r>
    </w:p>
    <w:p>
      <w:pPr>
        <w:spacing w:before="0" w:after="40" w:line="252" w:lineRule="auto"/>
      </w:pPr>
      <w:r>
        <w:rPr>
          <w:rFonts w:ascii="Calibri" w:hAnsi="Calibri" w:eastAsia="Noto Sans CJK SC"/>
          <w:b/>
          <w:color w:val="000000"/>
          <w:sz w:val="21"/>
        </w:rPr>
        <w:t>版本：v0.2（电导率 I–V 测量路线修订）</w:t>
      </w:r>
    </w:p>
    <w:p>
      <w:pPr>
        <w:spacing w:before="0" w:after="40" w:line="252" w:lineRule="auto"/>
      </w:pPr>
      <w:r>
        <w:rPr>
          <w:rFonts w:ascii="Calibri" w:hAnsi="Calibri" w:eastAsia="Noto Sans CJK SC"/>
          <w:b/>
          <w:color w:val="000000"/>
          <w:sz w:val="21"/>
        </w:rPr>
        <w:t>日期：2026-08-22</w:t>
      </w:r>
    </w:p>
    <w:p>
      <w:pPr>
        <w:spacing w:before="0" w:after="40" w:line="252" w:lineRule="auto"/>
      </w:pPr>
      <w:r>
        <w:rPr>
          <w:rFonts w:ascii="Calibri" w:hAnsi="Calibri" w:eastAsia="Noto Sans CJK SC"/>
          <w:b/>
          <w:color w:val="000000"/>
          <w:sz w:val="21"/>
        </w:rPr>
        <w:t>适用阶段：</w:t>
      </w:r>
      <w:r>
        <w:rPr>
          <w:rFonts w:ascii="Calibri" w:hAnsi="Calibri" w:eastAsia="Noto Sans CJK SC"/>
          <w:color w:val="000000"/>
          <w:sz w:val="21"/>
        </w:rPr>
        <w:t>硬件台架验收、软件开发、实验验证与项目申报</w:t>
      </w:r>
    </w:p>
    <w:p>
      <w:pPr>
        <w:spacing w:before="0" w:after="40" w:line="252" w:lineRule="auto"/>
      </w:pPr>
      <w:r>
        <w:rPr>
          <w:rFonts w:ascii="Calibri" w:hAnsi="Calibri" w:eastAsia="Noto Sans CJK SC"/>
          <w:b/>
          <w:color w:val="000000"/>
          <w:sz w:val="21"/>
        </w:rPr>
        <w:t>目标读者：</w:t>
      </w:r>
      <w:r>
        <w:rPr>
          <w:rFonts w:ascii="Calibri" w:hAnsi="Calibri" w:eastAsia="Noto Sans CJK SC"/>
          <w:color w:val="000000"/>
          <w:sz w:val="21"/>
        </w:rPr>
        <w:t>项目负责人、硬件开发、固件开发、数据处理与实验执行人员</w:t>
      </w:r>
    </w:p>
    <w:p>
      <w:pPr>
        <w:pStyle w:val="Heading1"/>
        <w:keepNext/>
      </w:pPr>
      <w:r>
        <w:t>0. 决策摘要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0B2545"/>
                <w:sz w:val="21"/>
              </w:rPr>
              <w:t>基线决定：</w:t>
            </w:r>
            <w:r>
              <w:rPr>
                <w:rFonts w:ascii="Calibri" w:hAnsi="Calibri" w:eastAsia="Noto Sans CJK SC"/>
                <w:color w:val="000000"/>
                <w:sz w:val="21"/>
              </w:rPr>
              <w:t>首版以“可靠相对比较”为交付目标：保存实际温度下电导率 κ(T)，主报告给出25°C参考电导率 κ25、排序、相对倍数和可分辨性。NaCl浓度梯度用于验证采集—判稳—拟合链路；低于系统定量下限的蒸馏水和蔗糖水只报告“低导/不可可靠区分”，不得输出虚假精确值。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  <w:color w:val="000000"/>
          <w:sz w:val="22"/>
        </w:rPr>
        <w:t>路线修订：不使用现成电导率模块作为正式测量链。系统对导电池电极施加受控交流或双极性激励，同步采集电极电压、电流和温度；经电气通道校准计算G，再以标准液标定Kcell得到κ(T)，最后按经验证的模型换算κ25。量程、精度、二/四电极拓扑、激励频率与电流检测方式均由台架证据冻结。</w:t>
      </w:r>
    </w:p>
    <w:p>
      <w:pPr>
        <w:pStyle w:val="Heading1"/>
        <w:keepNext/>
      </w:pPr>
      <w:r>
        <w:t>1. 目的、范围与边界</w:t>
      </w:r>
    </w:p>
    <w:p>
      <w:pPr>
        <w:pStyle w:val="Heading2"/>
        <w:keepNext/>
      </w:pPr>
      <w:r>
        <w:t>1.1 文档目的</w:t>
      </w:r>
    </w:p>
    <w:p>
      <w:r>
        <w:rPr>
          <w:rFonts w:ascii="Calibri" w:hAnsi="Calibri" w:eastAsia="Noto Sans CJK SC"/>
          <w:color w:val="000000"/>
          <w:sz w:val="22"/>
        </w:rPr>
        <w:t>本规格书把实验目标转化为可实现、可测试、可追溯的工程要求，覆盖测量量、量程与精度、采集率、校准、数据处理、拟合、风险、硬件模型及实验模板。它既是软件开发输入，也是硬件台架验收与实验报告生成的共同依据。</w:t>
      </w:r>
    </w:p>
    <w:p>
      <w:pPr>
        <w:pStyle w:val="Heading2"/>
        <w:keepNext/>
      </w:pPr>
      <w:r>
        <w:t>1.2 首版实验组成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980"/>
        <w:gridCol w:w="3300"/>
        <w:gridCol w:w="2880"/>
        <w:gridCol w:w="1200"/>
      </w:tblGrid>
      <w:tr>
        <w:trPr>
          <w:tblHeader w:val="true"/>
          <w:cantSplit w:val="true"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工作包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主要输出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定位</w:t>
            </w:r>
          </w:p>
        </w:tc>
      </w:tr>
      <w:tr>
        <w:trPr>
          <w:cantSplit w:val="true"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A：不同溶液相对比较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蒸馏/去离子水、自来水、同批水配制的蔗糖液、NaCl溶液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排序、相对倍数、不可分辨提示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核心演示</w:t>
            </w:r>
          </w:p>
        </w:tc>
      </w:tr>
      <w:tr>
        <w:trPr>
          <w:cantSplit w:val="true"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B：NaCl浓度梯度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空白 + 2/4/6/8/10 mmol/L NaCl，每水平≥3次独立重复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线性/备选模型参数、残差与有效区间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拟合验证</w:t>
            </w:r>
          </w:p>
        </w:tc>
      </w:tr>
      <w:tr>
        <w:trPr>
          <w:cantSplit w:val="true"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C：硬件台架验收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认证标准液、温度点、10 min连续通信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误差、重复性、漂移、丢帧率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投用门槛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明确不在首版范围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不把TDS、盐度或未知溶液浓度作为EC读数的唯一反演结果；电导率不能唯一识别离子种类。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不覆盖海水、浓盐水或超过 I–V 链路已验证工作区的样品；扩大量程必须重新设计电流量程、激励、导电池并完成低中高点校准。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不进行法定计量、环境合规或高纯水绝对电导率声明；低于10 μS/cm的准确测量需要专用低导方法、洁净/流通测量和适配探头。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不把 ADS1256 的24位分辨率等同于系统24位有效精度；系统精度由电极/导电池、激励、电压与电流通道、同步/相位算法、温度、Kcell 校准和操作共同决定。</w:t>
      </w:r>
    </w:p>
    <w:p>
      <w:pPr>
        <w:pStyle w:val="Heading1"/>
        <w:keepNext/>
      </w:pPr>
      <w:r>
        <w:t>2. 测量量与术语定义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900"/>
        <w:gridCol w:w="1150"/>
        <w:gridCol w:w="1550"/>
        <w:gridCol w:w="47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测量/派生量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符号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单位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定义与用途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电极电压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U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电极两端经通道换算的原始电压；永久保存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回路电流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I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经采样电阻或TIA换算的原始电流；永久保存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温度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°C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温补、稳定判据和质量控制；永久保存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电导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G(T)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由经验证的U/I算法得到；保留算法与激励版本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实际温度电导率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κ(T)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μS/cm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Kcell·G(T)；校准层结果，可重算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25°C参考电导率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κ25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μS/cm @25°C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由经验证的温补模型得到；排序与拟合主量</w:t>
            </w:r>
          </w:p>
        </w:tc>
      </w:tr>
    </w:tbl>
    <w:p>
      <w:pPr>
        <w:spacing w:after="0"/>
      </w:pPr>
    </w:p>
    <w:p>
      <w:pPr>
        <w:spacing w:before="80" w:after="120"/>
        <w:jc w:val="center"/>
      </w:pPr>
      <w:r>
        <w:rPr>
          <w:rFonts w:ascii="Cambria Math" w:hAnsi="Cambria Math" w:eastAsia="Noto Sans CJK SC"/>
          <w:color w:val="0B2545"/>
          <w:sz w:val="23"/>
        </w:rPr>
        <w:t>κ25 = κ(T) / [1 + α(T − 25)]</w:t>
      </w:r>
    </w:p>
    <w:p>
      <w:r>
        <w:rPr>
          <w:rFonts w:ascii="Calibri" w:hAnsi="Calibri" w:eastAsia="Noto Sans CJK SC"/>
          <w:color w:val="000000"/>
          <w:sz w:val="22"/>
        </w:rPr>
        <w:t>α为温度系数（1/°C）。NaCl在25°C附近可暂取0.020/°C，但不同溶液体系的温度系数不同；混合样品比较优先控温到25.0±0.5°C，并同时保留κ(T)、T、κ25、补偿模型和α。EPA Method 120.1要求优先在25°C测量，否则换算并报告到25°C，同时指出温度变化与温度校正是主要潜在误差源（来源[1]）。</w:t>
      </w:r>
    </w:p>
    <w:p>
      <w:pPr>
        <w:pStyle w:val="Heading1"/>
        <w:keepNext/>
      </w:pPr>
      <w:r>
        <w:t>3. 测量链路框架与职责边界</w:t>
      </w:r>
    </w:p>
    <w:p>
      <w:pPr>
        <w:jc w:val="center"/>
      </w:pPr>
      <w:r>
        <w:t>受控交流/双极性激励 → 导电池电极 → 电压通道 U + 电流通道 I → ADC/ESP32 → 树莓派：G=I/U → κ(T)=Kcell·G → 温度补偿 → κ25</w:t>
      </w:r>
    </w:p>
    <w:p>
      <w:pPr>
        <w:spacing w:before="80" w:after="80"/>
        <w:jc w:val="center"/>
      </w:pPr>
      <w:r>
        <w:rPr>
          <w:rFonts w:ascii="Calibri" w:hAnsi="Calibri" w:eastAsia="Noto Sans CJK SC"/>
          <w:i/>
          <w:color w:val="666666"/>
          <w:sz w:val="18"/>
        </w:rPr>
        <w:t>图1  修订后的电极 I–V 测量与计算链</w:t>
      </w:r>
    </w:p>
    <w:p>
      <w:pPr>
        <w:pStyle w:val="Heading2"/>
        <w:keepNext/>
      </w:pPr>
      <w:r>
        <w:t>3.1 推荐 I–V 测量链路</w:t>
      </w:r>
    </w:p>
    <w:p>
      <w:r>
        <w:rPr>
          <w:rFonts w:ascii="Calibri" w:hAnsi="Calibri" w:eastAsia="Noto Sans CJK SC"/>
          <w:color w:val="000000"/>
          <w:sz w:val="22"/>
        </w:rPr>
        <w:t>导电池电极 → 受控交流/双极性激励 + 电压/电流模拟前端 → ADC → ESP32-S3 → USB CDC串口 → 树莓派5。ESP32负责激励与采集时序、温度读取、帧校验、序号、单调时钟和缓存；树莓派负责通道校准、G/κ(T)/κ25计算、编排、图表、判稳、统计、拟合、存储和报告。算法也可下沉固件，但原始U/I/T必须上传并可追溯。</w:t>
      </w:r>
    </w:p>
    <w:p>
      <w:pPr>
        <w:pStyle w:val="Heading2"/>
        <w:keepNext/>
      </w:pPr>
      <w:r>
        <w:t>3.2 模拟前端与采样要求</w:t>
      </w:r>
    </w:p>
    <w:p>
      <w:r>
        <w:rPr>
          <w:rFonts w:ascii="Calibri" w:hAnsi="Calibri" w:eastAsia="Noto Sans CJK SC"/>
          <w:color w:val="000000"/>
          <w:sz w:val="22"/>
        </w:rPr>
        <w:t>I–V 链路必须采用受控交流或双极性激励，不得以GPIO或未验证的直流长期激励电极。电压通道与基于采样电阻/TIA的电流通道须具有限流、钳位、滤波和量程保护，再由ESP32 ADC或ADS1256采样。起步内部采样可取10–20 SPS，但最终速率必须结合激励频率、同步/相位算法、噪声和稳定性台架确定；高位数不能修复极化、相位误差、错误Kcell或温补模型。</w:t>
      </w:r>
    </w:p>
    <w:p>
      <w:pPr>
        <w:pStyle w:val="Heading2"/>
        <w:keepNext/>
      </w:pPr>
      <w:r>
        <w:t>3.3 数据接口最低协议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500"/>
        <w:gridCol w:w="5000"/>
        <w:gridCol w:w="28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最低字段/约束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帧标识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schema_version、device_id、firmware_version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可追溯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时序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seq_no、timestamp_utc、monotonic_ms、device_uptime_ms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发现丢包、重启和校时跳变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测量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voltage_raw_v、current_raw_a、temperature_raw_c、conductance_s、kappa_t_us_cm、kappa_25_us_cm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Raw/Calibrated/Derived 分层且可回算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配置/状态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sensor_path_id、range_id、excitation_frequency_hz、excitation_amplitude_v、state、quality_flags、calibration_id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激励、量程、异常和校准关联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传输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UTF-8 JSON Lines或定长二进制；CRC/校验和；有效率≥1 Hz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首版优先USB，Wi-Fi仅作可选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指标表与验收口径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7A5A00"/>
                <w:sz w:val="21"/>
              </w:rPr>
              <w:t>精度口径：必须分别预算电压通道、电流通道、同步/相位算法、Kcell、标准液、温度补偿和重复装夹；不得以 ADC 位数或单个器件规格替代系统示值误差。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800"/>
        <w:gridCol w:w="3250"/>
        <w:gridCol w:w="1450"/>
        <w:gridCol w:w="28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规格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级别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验收方法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主输出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U/I/T原始量；G、κ(T)、κ25可追溯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字段、公式与报告检查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硬件工作区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由U/I量程、导电池与标准液台架确定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精密阻抗 + 低中高标准液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首轮目标工作区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覆盖预定NaCl梯度和1413 μS/cm中点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目标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样品预测 + 标准液夹持验证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低导区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&lt;实测LOQ，仅定性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空白SD、污染、量程与线性下限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显示分辨率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不得高于有效分辨率；随量程配置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噪声/重复性与UI检查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温度范围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10–40°C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15/25/35°C三点检查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温度分辨率/准确度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0.1°C / ±0.5°C；目标±0.3°C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强制/目标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与参考温度计比较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系统示值误差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首轮目标≤±5%读数；最终由误差预算冻结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条件放行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独立标准液与盲样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重复性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n≥3：CV≤2%；低导区按实测SD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目标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独立重新浸入/取样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可判别差异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≥10%且≥3倍合并SD；否则报不可区分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样品汇总统计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原始采集率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与激励/同步算法匹配；起步10–20 SPS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条件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波形、相位和噪声台架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结果输出率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最低1 Hz，目标2 Hz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强制/目标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10 min连续帧统计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UI刷新率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1–2 Hz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目标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交互检查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稳定识别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20 s窗，连续3窗通过；超时180 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回放测试与实液测试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实验前后漂移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中点标准目标≤3%，5%为失败阈值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前后核查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数据完整性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30 min无未解释丢帧；U/I/T和配置完整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序号、时钟、SQLite与导出核查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异常检测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饱和、欠量程、开短路、温度无效、校准过期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故障注入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I–V 测量链误差预算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600"/>
        <w:gridCol w:w="3800"/>
        <w:gridCol w:w="29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误差项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主要来源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必须提供的证据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电压通道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增益、零点、噪声、输入保护和ADC非线性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精密电压/阻抗扫描与重复性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电流通道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采样电阻/TIA公差、增益、零点、量程与饱和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精密负载的低中高点与开短路测试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同步/算法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U/I不同步、相位、RMS/幅值/复导纳方法差异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已知阻抗与波形回放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导电池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电极几何、极化、浸深、气泡、污染、接触阻抗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标准液、多次重装/重浸与前后核查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Kcell/标准液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标准液不确定度、温度表、拟合残差与漂移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低中高标准、批次CoA和校准记录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温度补偿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温度示值、α/查表模型失配、空间温差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CJK SC"/>
                <w:color w:val="000000"/>
                <w:sz w:val="18"/>
              </w:rPr>
              <w:t>15/25/35°C及样品适用性验证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  <w:color w:val="000000"/>
          <w:sz w:val="22"/>
        </w:rPr>
        <w:t>结论：在精密阻抗、电气通道、标准液、重复性和温补台架数据出现前，不能保证2/4/6/8/10 mmol/L NaCl相邻梯度全部可分，也不能保证蒸馏水、蔗糖水和低电导自来水的严格排序。</w:t>
      </w:r>
    </w:p>
    <w:p>
      <w:pPr>
        <w:pStyle w:val="Heading1"/>
        <w:keepNext/>
      </w:pPr>
      <w:r>
        <w:t>5. 校准、核查与量程放行方案</w:t>
      </w:r>
    </w:p>
    <w:p>
      <w:pPr>
        <w:pStyle w:val="Heading2"/>
        <w:keepNext/>
      </w:pPr>
      <w:r>
        <w:t>5.1 校准策略</w:t>
      </w:r>
    </w:p>
    <w:p>
      <w:r>
        <w:rPr>
          <w:rFonts w:ascii="Calibri" w:hAnsi="Calibri" w:eastAsia="Noto Sans CJK SC"/>
          <w:color w:val="000000"/>
          <w:sz w:val="22"/>
        </w:rPr>
        <w:t>当前MVP采用“精密阻抗校电压/电流通道 + 低中高标准液标定/核查Kcell + 实验后漂移检查”的闭环。1413 μS/cm 可作为中点，但不能单独放行低端、高端或温补；标准应夹持预期样品范围，核查偏差超过5%时进入QC_HOLD并重新校准。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color w:val="0B2545"/>
          <w:sz w:val="23"/>
        </w:rPr>
        <w:t>电导：G(T)=I/U（RMS、同频幅值或复导纳方法须在硬件冻结时明确）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color w:val="0B2545"/>
          <w:sz w:val="23"/>
        </w:rPr>
        <w:t>电导率：Kcell=κref(T)/Gstd；κ(T)=Kcell·Gsample；再按经验证模型换算κ25</w:t>
      </w:r>
    </w:p>
    <w:p>
      <w:r>
        <w:rPr>
          <w:rFonts w:ascii="Calibri" w:hAnsi="Calibri" w:eastAsia="Noto Sans CJK SC"/>
          <w:color w:val="000000"/>
          <w:sz w:val="22"/>
        </w:rPr>
        <w:t>去离子水不作为0 μS/cm校准液。低电导水真实值不为零，且暴露空气后会受CO₂和痕量污染快速改变；低于10 μS/cm的标准更适合核查而非普通静态校准（来源[3][5]）。</w:t>
      </w:r>
    </w:p>
    <w:p>
      <w:pPr>
        <w:pStyle w:val="Heading2"/>
        <w:keepNext/>
      </w:pPr>
      <w:r>
        <w:t>5.2 每次实验校准SOP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确认导电池/电极、激励、AFE/ADC、固件、通道校准、Kcell 与温补模型版本；检查电极洁净、无盐析、油膜和气泡。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标准液、探头和温度传感器在同一环境平衡，优先达到25.0±0.5°C；若不在25°C，必须使用该批标准液CoA/瓶签温度表。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记录标准液厂家、批号、证书值/不确定度、有效期、开瓶日期及实际温度。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用DI水冲洗后吸去残液；用少量标准液预润洗洁净校准杯和探头，废弃预洗液。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加入新鲜1413 μS/cm标准液；固定浸深、杯壁/杯底间距，排除气泡；稳定后记录不少于30 s。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执行电气通道核查与Kcell标定，保存原始U/I/T、激励设置、标准液批次、校准前后结果和RSD；不得只保存最终系数。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换新鲜1413等分液做过程核查：目标98%–102%，条件放行限95%–105%。同一标准只能证明过程一致性，不能代替独立量程QC。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用84/100/147 μS/cm做低点核查；需要扩展到1400 μS/cm以上时，再用2.764–5.000 mS/cm认证标准核查。标准应尽量夹持样品范围。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按低导到高导顺序测样，样品间DI水冲洗并以待测液润洗；用过的标准液和样品不得倒回原瓶。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实验结束重测1413标准：前后漂移≤3%通过，3%–5%警告复核，&gt;5%本批QC失败并重校/重测。</w:t>
      </w:r>
    </w:p>
    <w:p>
      <w:pPr>
        <w:pStyle w:val="Heading2"/>
        <w:keepNext/>
      </w:pPr>
      <w:r>
        <w:t>5.3 校准频率与触发条件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频率/触发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每个实验日/每次上电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电气零点/量程自检；中点标准核查；原型阶段默认完整Kcell校准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每批样品结束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中点标准漂移核查；高盐样品后增加空白、冲洗和电极状态核查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立即重校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电极清洗/拆装/更换；导电池几何、激励、采样电阻/TIA、ADC/AFE、量程、固件或算法改变；QC失败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稳定运行后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连续≥10次实验合格后可评估延长完整校准周期；每次使用前仍核查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至少每6个月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复核Kcell、电气通道、参考温度计和标准液体系；周期由漂移数据再冻结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温度补偿验证</w:t>
      </w:r>
    </w:p>
    <w:p>
      <w:r>
        <w:rPr>
          <w:rFonts w:ascii="Calibri" w:hAnsi="Calibri" w:eastAsia="Noto Sans CJK SC"/>
          <w:color w:val="000000"/>
          <w:sz w:val="22"/>
        </w:rPr>
        <w:t>使用标准液在约15/25/35°C测试，按CoA温度表获得κref(T)，检查U/I计算、温度读数、κ(T)与补偿后κ25。三点补偿偏差目标≤3%，任何一点&gt;5%则禁止自动温补。固定2%/°C只作为经验证范围内的NaCl近似，不套用于KCl证书值，也不无条件套用于蔗糖液/自来水。</w:t>
      </w:r>
    </w:p>
    <w:p>
      <w:pPr>
        <w:pStyle w:val="Heading1"/>
        <w:keepNext/>
      </w:pPr>
      <w:r>
        <w:t>6. 数据处理流程与状态机</w:t>
      </w:r>
    </w:p>
    <w:p>
      <w:pPr>
        <w:pStyle w:val="CodeBlock"/>
      </w:pPr>
      <w:r>
        <w:rPr>
          <w:rFonts w:ascii="Consolas" w:hAnsi="Consolas" w:eastAsia="Noto Sans CJK SC"/>
          <w:color w:val="0B2545"/>
          <w:sz w:val="17"/>
        </w:rPr>
        <w:t>BOOT → WARMUP → CALIBRATION/CAL_CHECK → RINSE → BLANK/MEASURE → STABILIZING → STABLE_CAPTURE → RESULT → RINSE_CHECK → NEXT_SAMPLE → END_CHECK → COMPLETE</w:t>
      </w:r>
    </w:p>
    <w:p>
      <w:r>
        <w:rPr>
          <w:rFonts w:ascii="Calibri" w:hAnsi="Calibri" w:eastAsia="Noto Sans CJK SC"/>
          <w:color w:val="000000"/>
          <w:sz w:val="22"/>
        </w:rPr>
        <w:t>任何异常进入QC_HOLD或FAILED，但已采集原始数据不得删除。稳定性和持续时间只使用monotonic_ms；UTC时间用于跨设备追溯。</w:t>
      </w:r>
    </w:p>
    <w:p>
      <w:pPr>
        <w:pStyle w:val="Heading2"/>
        <w:keepNext/>
      </w:pPr>
      <w:r>
        <w:t>6.1 处理步骤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处理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约束/输出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 采集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按激励同步采集U/I，1–2 Hz输出结果；同时采集T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原始记录只追加、不可覆盖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2 完整性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检查序号、时间、重启、缺失、U/I饱和、开短路、温度无效和量程切换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异常点标记，不静默删除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3 电气/导电池校准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应用U/I通道校准；计算G和κ(T)=Kcell·G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原始U/I/T不覆盖；算法与calibration_id可追溯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4 温度补偿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按记录的模型由κ(T)、T计算κ25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模型、参数、温区和版本必须保存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5 判稳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20 s滑窗，连续3窗通过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见6.3默认判据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6 稳定采集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判稳后继续≥30 s且≥20个有效点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代表值用中位数；同时报均值/SD/MAD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7 独立重复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每样品≥3次重新取样或重新浸入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连续时间点不能冒充独立重复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8 汇总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均值、SD、CV、95%CI、排序、相对倍数、不可分辨标记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参考样不得接近零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9 拟合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仅NaCl梯度；比较候选模型并检查残差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不外推、不默认过原点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10 QC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前后空白、前后标准、漂移、携带污染、通信完整性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输出PASS/WARN/FAIL及原因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自动稳定判据（初始默认值）</w:t>
      </w:r>
    </w:p>
    <w:p>
      <w:r>
        <w:rPr>
          <w:rFonts w:ascii="Calibri" w:hAnsi="Calibri" w:eastAsia="Noto Sans CJK SC"/>
          <w:color w:val="000000"/>
          <w:sz w:val="22"/>
        </w:rPr>
        <w:t>以最近20 s、至少20个1 Hz有效点为窗口；设备标记无效、过量程、缺失和时间异常的数据不进入统计，但保留原始记录。对候选窗口做Hampel异常标记，异常点比例不得超过10%。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color w:val="0B2545"/>
          <w:sz w:val="23"/>
        </w:rPr>
        <w:t>P95 − P05 ≤ max(0.01·m, 3r)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color w:val="0B2545"/>
          <w:sz w:val="23"/>
        </w:rPr>
        <w:t>|b|·W ≤ max(0.005·m, 3r)</w:t>
      </w:r>
    </w:p>
    <w:p>
      <w:r>
        <w:rPr>
          <w:rFonts w:ascii="Calibri" w:hAnsi="Calibri" w:eastAsia="Noto Sans CJK SC"/>
          <w:color w:val="000000"/>
          <w:sz w:val="22"/>
        </w:rPr>
        <w:t>其中m为窗口中位数，r为实际有效分辨率，b为稳健斜率，W=20 s。同时要求温度跨度≤0.2°C、无量程切换/重启/未解释丢包，连续3个窗口通过。180 s未稳定则输出TIMEOUT_UNSTABLE，不自动生成代表值。上述数值是工程初值，必须用标准液与实液噪声回放调参。</w:t>
      </w:r>
    </w:p>
    <w:p>
      <w:pPr>
        <w:pStyle w:val="Heading2"/>
        <w:keepNext/>
      </w:pPr>
      <w:r>
        <w:t>6.3 排序和相对倍数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color w:val="0B2545"/>
          <w:sz w:val="23"/>
        </w:rPr>
        <w:t>Ri = mean(κ25,i) / mean(κ25,ref)</w:t>
      </w:r>
    </w:p>
    <w:p>
      <w:r>
        <w:rPr>
          <w:rFonts w:ascii="Calibri" w:hAnsi="Calibri" w:eastAsia="Noto Sans CJK SC"/>
          <w:color w:val="000000"/>
          <w:sz w:val="22"/>
        </w:rPr>
        <w:t>参考样预先指定为中等非零电导样（建议10 mmol/L NaCl或稳定自来水样），不得用蒸馏水/空白作分母。只有当两组差异≥10%且≥3倍合并SD时才给出严格排序；否则显示“当前系统无法可靠区分”。</w:t>
      </w:r>
    </w:p>
    <w:p>
      <w:pPr>
        <w:pStyle w:val="Heading1"/>
        <w:keepNext/>
      </w:pPr>
      <w:r>
        <w:t>7. 拟合目标、候选模型与输出</w:t>
      </w:r>
    </w:p>
    <w:p>
      <w:pPr>
        <w:pStyle w:val="Heading2"/>
        <w:keepNext/>
      </w:pPr>
      <w:r>
        <w:t>7.1 实验设计</w:t>
      </w:r>
    </w:p>
    <w:p>
      <w:r>
        <w:rPr>
          <w:rFonts w:ascii="Calibri" w:hAnsi="Calibri" w:eastAsia="Noto Sans CJK SC"/>
          <w:color w:val="000000"/>
          <w:sz w:val="22"/>
        </w:rPr>
        <w:t>首轮采用同批DI水和同一NaCl母液配制空白及2/4/6/8/10 mmol/L六个水平，每水平≥3个独立重复。浓度点应保持在实测量程内；可按升序、降序、随机顺序分成三个重复块，以暴露携带污染和漂移。对NaCl梯度可计算κnet=κsample−κblank，但必须同时报告未扣空白值。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050"/>
        <w:gridCol w:w="2200"/>
        <w:gridCol w:w="2900"/>
        <w:gridCol w:w="2210"/>
      </w:tblGrid>
      <w:tr>
        <w:trPr>
          <w:tblHeader w:val="true"/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模型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形式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目标参数/统计量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使用条件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A 经验线性（主模型）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κ25 = β0 + β1c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β1灵敏度、β0背景；95%CI、R²、调整R²、RMSE、MAE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默认保留截距；残差无系统曲率时采用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B Kohlrausch启发式（物理备选）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κ25 = κblank + Λ0c − Kc^(3/2)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κblank、Λ0、K及CI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稀强电解质；参数为模型估计，不冒充高精度物性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C 经验二次（区间备选）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κ25 = β0 + β1c + β2c²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β0、β1、β2及CI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仅在线性残差呈曲率且预测明显改善时启用；禁止区间外外推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模型选择与验收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R²仅作辅助指标；初始目标R²≥0.98，但高R²不能替代残差检查。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必须输出残差图、最大绝对/相对残差、RMSE、MAE、AICc和按浓度水平留一交叉验证RMSE。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线性模型残差不得出现明显弧形或单向趋势；标准化残差原则上|z|&lt;3，拟合区间内dκ/dc&gt;0。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只有非线性模型ΔAICc&gt;4或交叉验证RMSE改善约20%以上，且残差结构确有改善时，才替代线性模型。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默认不强制过原点。仅在独立空白校正、截距与0相容且约束不恶化残差时允许。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模型必须输出有效浓度范围和allow_extrapolation=false；区间外只显示“不支持预测”。</w:t>
      </w:r>
    </w:p>
    <w:p>
      <w:pPr>
        <w:pStyle w:val="Heading1"/>
        <w:keepNext/>
      </w:pPr>
      <w:r>
        <w:t>8. 实验模板定义</w:t>
      </w:r>
    </w:p>
    <w:p>
      <w:pPr>
        <w:pStyle w:val="Heading2"/>
        <w:keepNext/>
      </w:pPr>
      <w:r>
        <w:t>8.1 模板字段组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700"/>
        <w:gridCol w:w="5550"/>
        <w:gridCol w:w="211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字段组</w:t>
            </w:r>
          </w:p>
        </w:tc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最低字段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experiment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experiment_id、title、operator、location、started_at_utc、objective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实验身份与目的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measurand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primary、unit、reference_temperature_c、retain_raw_u_i_t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测量量定义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instrument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cell/electrode/excitation/AFE/ADC/controller ID、range、firmware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硬件与版本追溯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calibration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channel_gain_offset、shunt/TIA、Kcell、standard/lot/expiry/CoA、temperature_model、pre/post limits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校准与核查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design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replicates、sample volume、immersion depth、stirring、temperature tolerance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实验条件控制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samples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sample_id、type、composition、concentration、preparation_record_id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样品与配制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acquisition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U/I/T raw rate、result rate、timestamp fields、immutable raw flag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采集与完整性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processing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stability、outlier、representative statistic、display filter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处理参数版本化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quality_control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replicate limits、standard/blank checks、ranking rule、manual override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放行规则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modeling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candidate models、weighting、cross-validation、CI、extrapolation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拟合策略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outputs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raw CSV、event log、plots、summary、fit、residual、QC report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交付物清单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JSON模板骨架</w:t>
      </w:r>
    </w:p>
    <w:p>
      <w:pPr>
        <w:pStyle w:val="CodeBlock"/>
        <w:shd w:fill="F7F8FA"/>
      </w:pPr>
      <w:r>
        <w:rPr>
          <w:rFonts w:ascii="Consolas" w:hAnsi="Consolas" w:eastAsia="Noto Sans CJK SC"/>
          <w:color w:val="0B2545"/>
          <w:sz w:val="15"/>
        </w:rPr>
        <w:t>{</w:t>
        <w:br/>
        <w:t xml:space="preserve">  "schema_version": "2.0.0",</w:t>
        <w:br/>
        <w:t xml:space="preserve">  "experiment": {</w:t>
        <w:br/>
        <w:t xml:space="preserve">    "experiment_id": "EXP-EC-001",</w:t>
        <w:br/>
        <w:t xml:space="preserve">    "title": "不同溶液导电性相对比较",</w:t>
        <w:br/>
        <w:t xml:space="preserve">    "operator": "",</w:t>
        <w:br/>
        <w:t xml:space="preserve">    "started_at_utc": ""</w:t>
        <w:br/>
        <w:t xml:space="preserve">  },</w:t>
        <w:br/>
        <w:t xml:space="preserve">  "measurand": {</w:t>
        <w:br/>
        <w:t xml:space="preserve">    "primary": "specific_conductance_25c",</w:t>
        <w:br/>
        <w:t xml:space="preserve">    "unit": "uS/cm",</w:t>
        <w:br/>
        <w:t xml:space="preserve">    "reference_temperature_c": 25.0,</w:t>
        <w:br/>
        <w:t xml:space="preserve">    "retain_raw_u_i_t": true</w:t>
        <w:br/>
        <w:t xml:space="preserve">  },</w:t>
        <w:br/>
        <w:t xml:space="preserve">  "instrument": {</w:t>
        <w:br/>
        <w:t xml:space="preserve">    "sensor_path_id": "EC_IV_CELL_01",</w:t>
        <w:br/>
        <w:t xml:space="preserve">    "cell_id": "",</w:t>
        <w:br/>
        <w:t xml:space="preserve">    "electrode_topology": "TBD_2_OR_4_ELECTRODE",</w:t>
        <w:br/>
        <w:t xml:space="preserve">    "controller_id": "",</w:t>
        <w:br/>
        <w:t xml:space="preserve">    "adc_id": "",</w:t>
        <w:br/>
        <w:t xml:space="preserve">    "firmware_version": ""</w:t>
        <w:br/>
        <w:t xml:space="preserve">  },</w:t>
        <w:br/>
        <w:t xml:space="preserve">  "excitation": {</w:t>
        <w:br/>
        <w:t xml:space="preserve">    "waveform": "bipolar_or_ac",</w:t>
        <w:br/>
        <w:t xml:space="preserve">    "frequency_hz": null,</w:t>
        <w:br/>
        <w:t xml:space="preserve">    "amplitude_v": null,</w:t>
        <w:br/>
        <w:t xml:space="preserve">    "range_id": ""</w:t>
        <w:br/>
        <w:t xml:space="preserve">  },</w:t>
        <w:br/>
        <w:t xml:space="preserve">  "calibration": {</w:t>
        <w:br/>
        <w:t xml:space="preserve">    "calibration_id": "",</w:t>
        <w:br/>
        <w:t xml:space="preserve">    "voltage_gain": null,</w:t>
        <w:br/>
        <w:t xml:space="preserve">    "voltage_offset_v": null,</w:t>
        <w:br/>
        <w:t xml:space="preserve">    "current_gain": null,</w:t>
        <w:br/>
        <w:t xml:space="preserve">    "current_offset_a": null,</w:t>
        <w:br/>
        <w:t xml:space="preserve">    "cell_constant_per_cm": null,</w:t>
        <w:br/>
        <w:t xml:space="preserve">    "standard_lot": "",</w:t>
        <w:br/>
        <w:t xml:space="preserve">    "temperature_model": "validated_model_required"</w:t>
        <w:br/>
        <w:t xml:space="preserve">  },</w:t>
        <w:br/>
        <w:t xml:space="preserve">  "design": {</w:t>
        <w:br/>
        <w:t xml:space="preserve">    "independent_replicates_per_sample": 3,</w:t>
        <w:br/>
        <w:t xml:space="preserve">    "target_temperature_c": 25.0,</w:t>
        <w:br/>
        <w:t xml:space="preserve">    "temperature_tolerance_c": 0.5</w:t>
        <w:br/>
        <w:t xml:space="preserve">  },</w:t>
        <w:br/>
        <w:t xml:space="preserve">  "acquisition": {</w:t>
        <w:br/>
        <w:t xml:space="preserve">    "raw_fields": ["voltage_raw_v", "current_raw_a", "temperature_raw_c"],</w:t>
        <w:br/>
        <w:t xml:space="preserve">    "calibrated_fields": ["conductance_s", "kappa_t_us_cm"],</w:t>
        <w:br/>
        <w:t xml:space="preserve">    "derived_fields": ["kappa_25_us_cm"],</w:t>
        <w:br/>
        <w:t xml:space="preserve">    "raw_rate_hz": 20.0,</w:t>
        <w:br/>
        <w:t xml:space="preserve">    "result_rate_hz": 1.0,</w:t>
        <w:br/>
        <w:t xml:space="preserve">    "raw_immutable": true</w:t>
        <w:br/>
        <w:t xml:space="preserve">  },</w:t>
        <w:br/>
        <w:t xml:space="preserve">  "processing": {</w:t>
        <w:br/>
        <w:t xml:space="preserve">    "stability_window_s": 20,</w:t>
        <w:br/>
        <w:t xml:space="preserve">    "consecutive_pass_windows": 3,</w:t>
        <w:br/>
        <w:t xml:space="preserve">    "stable_capture_s": 30,</w:t>
        <w:br/>
        <w:t xml:space="preserve">    "timeout_s": 180,</w:t>
        <w:br/>
        <w:t xml:space="preserve">    "representative_statistic": "median"</w:t>
        <w:br/>
        <w:t xml:space="preserve">  },</w:t>
        <w:br/>
        <w:t xml:space="preserve">  "modeling": {</w:t>
        <w:br/>
        <w:t xml:space="preserve">    "candidate_models": ["linear", "kohlrausch", "quadratic"],</w:t>
        <w:br/>
        <w:t xml:space="preserve">    "force_zero_intercept": false,</w:t>
        <w:br/>
        <w:t xml:space="preserve">    "allow_extrapolation": false</w:t>
        <w:br/>
        <w:t xml:space="preserve">  }</w:t>
        <w:br/>
        <w:t>}</w:t>
      </w:r>
    </w:p>
    <w:p>
      <w:pPr>
        <w:pStyle w:val="Heading1"/>
        <w:keepNext/>
      </w:pPr>
      <w:r>
        <w:t>9. 硬件初步确认与条件放行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200"/>
        <w:gridCol w:w="1600"/>
        <w:gridCol w:w="55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部件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结论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说明/动作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树莓派5 8GB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通过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负责本地服务、数据库、G/κ/温补、图表、拟合和报告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ESP32-S3-N16R8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通过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负责激励/采集时序、时间戳、缓存、质量标志与USB传输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现成EC模块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退出正式路线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BA121S/CM2仅作历史或对照，不作为原始真值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导电池/电极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待台架选型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二/四电极、材料和几何由极化、量程与重复性决定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1413 μS/cm标准液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通过（中点）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用于Kcell中点核查；不能单独证明低端、高端或温补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低点标准液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需补充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决定低量程LOQ、Kcell线性与低点放行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中高点标准液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按目标工作区补充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与中点共同夹持预期样品范围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ADS1256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候选/需验证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用于电压/电流采集；验证噪声、带宽、同步、基准与保护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DAC + 电压/电流AFE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必需/待设计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受控交流或双极性激励；采样电阻或TIA测流；限制极化与饱和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DS18B20或参考温度计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必需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温度应代表导电池附近溶液，并完成独立校准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固定夹具、独立烧杯、接水盘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固定浸深、离壁距离、排泡与液电隔离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电极 I–V 测量链台架门槛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900"/>
        <w:gridCol w:w="4550"/>
        <w:gridCol w:w="291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通过门槛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不通过处置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精密阻抗/电气通道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U/I低中高点误差、噪声、相位/算法满足首轮误差预算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调整AFE、量程、采样或算法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开短路/饱和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故障可检测并置quality_flags，不损坏采集链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整改保护与范围检查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标准液/Kcell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低中高独立标准偏差目标≤5%，残差无系统趋势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缩小工作区、重做电极/激励或校准模型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重复性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每标准10次；CV目标≤1%，并通过重新浸入重复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排查气泡、夹具、电极、温度与噪声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NaCl五档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3次独立重复；均值单调；相邻差≥3倍合并SD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减少档位、拉大间距或更改工作区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温补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15/25/35°C补偿后目标≤3%，任何点≤5%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关闭自动温补并控温测量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漂移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实验前后中点标准≤3%；&gt;5%失败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本批QC_HOLD并重校/重测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连续链路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30 min U/I/T→κ25→WS→SQLite→Web 连续，无未解释丢帧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修复时序、协议、缓存或数据库链路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风险分析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900"/>
        <w:gridCol w:w="900"/>
        <w:gridCol w:w="2300"/>
        <w:gridCol w:w="42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等级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后果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电流量程/TIA不匹配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欠量程、饱和或噪声放大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精密负载台架；分档量程；饱和/欠量程标志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U/I增益、零点或ADC非线性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G与κ产生系统偏差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逐通道校准；保存系数与原始值；独立阻抗核查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同步/相位/波形算法错误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I/U比值失真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同步采样或明确同相方法；已知阻抗和波形回放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直流激励与电极极化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漂移、气泡、损伤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受控交流/双极性激励；扫频/扫幅；限制电流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Kcell随几何/浸深/气泡变化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绝对比例与重复性错误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固定夹具、容器、电极ID、重新浸入重复与前后标准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温度补偿模型错误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排序/拟合偏差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控温优先；保存κ(T)/T；按溶液验证α或温度表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交叉污染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低导样品虚高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低到高；独立杯；DI冲洗+样品润洗；前后空白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低导水吸收CO₂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空白随时间上升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现配、加盖、快速测量；低于LOQ不报绝对值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糖水背景离子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中高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错误解释“糖导电”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同批DI水；说明读数主要反映杂质离子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NaCl配液误差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中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拟合斜率偏差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母液称量/定容、逐级稀释、记录纯度与器具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连续点冒充独立重复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低估不确定度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至少3次重新取样/浸入；时间点只用于判稳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只看R²/强制过原点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中高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掩盖非线性与空白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残差、CV、AICc并用；默认保留截距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Wi-Fi/USB丢包与时钟跳变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中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曲线断点、斜率错误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序号+单调时钟+本地缓存；首版优先USB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电导率链与三电极混线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中高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范围失控、验收边界不清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独立里程碑、接口和安全评审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液体接近裸板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短路与安全风险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安全低压、电子/液体分区、外壳、接水盘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需求条目与验收矩阵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450"/>
        <w:gridCol w:w="5000"/>
        <w:gridCol w:w="1150"/>
        <w:gridCol w:w="176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ID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级别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验收证据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REQ-M-001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系统必须保存原始U/I/T，并可追溯计算G、κ(T)和κ25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导出字段、公式回算与版本检查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REQ-M-002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系统必须标记已验证范围、LOQ与过量程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边界输入测试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REQ-C-001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每次结果必须关联calibration_id及标准液批次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数据关联测试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REQ-C-002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校准后、批末标准核查必须形成PASS/WARN/FAIL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标准液流程测试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REQ-D-001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原始数据只追加，不得被温补、滤波或人工覆盖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文件校验与审计日志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REQ-D-002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每帧必须包含序号、UTC时间和单调时间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协议与丢帧测试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REQ-D-003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自动判稳必须输出窗口、统计量、阈值和失败原因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数据回放测试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REQ-Q-001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每样品必须至少3个独立有效重复才能形成正式排序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不完整实验测试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REQ-Q-002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统计不可分辨时不得强行排序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相近样品模拟数据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REQ-F-001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拟合必须默认含截距、输出CI和残差诊断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标准数据集测试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REQ-F-002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模型必须声明有效浓度范围且禁止外推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区间外输入测试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REQ-H-001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正式电导率链必须采用电极I–V测量，不得依赖现成EC模块输出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架构、BOM、固件与台架报告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REQ-H-002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U/I模拟路径必须具有输入保护、量程控制并验证ADC/AFE不超量程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精密负载、电压扫描、开短路与饱和测试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REQ-U-001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UI必须区分原始值、温补值、滤波显示值和最终代表值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界面检查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REQ-R-001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报告必须包含校准、QC、稳定区间、重复性、拟合和风险提示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强制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报告模板检查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实验输出与完成定义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原始采样文件（CSV/Parquet）与不可变事件日志；包含模板、固件、校准和处理版本。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实时κ(T)、T、κ25曲线，状态背景色与稳定区间高亮。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每次浸入的中位数、均值、SD、MAD、斜率、温度范围与质量标志。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样品级均值、SD、CV、95%CI、排序、相对倍数及“不可区分”说明。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NaCl浓度—电导率拟合图、参数表、置信区间、残差图、RMSE/MAE/AICc/CV误差与有效区间。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校准前后、空白前后、标准漂移、携带污染、通信完整性和台架验收报告。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一页实验结论：哪些差异被可靠观察、哪些低于当前系统能力、是否允许模型解释。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1F6D4A"/>
                <w:sz w:val="21"/>
              </w:rPr>
              <w:t>完成定义：只有当电压/电流通道通过精密负载验证，导电池Kcell与温补通过低中高标准和多温点核查，每样品具备3个独立有效重复，且原始U/I/T、激励、校准、处理和模型均可追溯时，首个实验才可标记为“完成”。低于LOQ时必须报告“低于当前链路可靠区分能力”，不得给出伪精确排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附录A  误差预算（设计分配值）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100"/>
        <w:gridCol w:w="5200"/>
        <w:gridCol w:w="20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误差源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当前控制/分配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标准液赋值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按实际CoA和温度表；批次与有效期可追溯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校准记录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电压通道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增益、零点、噪声、ADC线性与基准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精密电压/阻抗扫描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电流通道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采样电阻/TIA、增益、零点、量程与饱和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精密负载低中高点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同步/相位算法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RMS/幅值/复导纳方法冻结并版本化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已知阻抗与波形回放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Kcell与电极几何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低中高标准、固定浸深/容器、前后核查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最大残差与漂移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温度示值/补偿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参考温度计；15/25/35°C；模型适用性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温度跨度与模型记录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浸入/气泡/清洗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独立重复覆盖；目标CV≤2%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独立重复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  <w:color w:val="000000"/>
          <w:sz w:val="22"/>
        </w:rPr>
        <w:t>在I–V链路尚未完成电气与标准液实测前，不能宣称完整测量不确定度。首版报告可给出独立重复的均值、SD、CV、t分布95%置信区间，并把U/I通道、Kcell、标准液证书、温度与重复装夹项单列。待台架数据稳定后，再按GUM方法合成A类与B类不确定度（来源[7]）。</w:t>
      </w:r>
    </w:p>
    <w:p>
      <w:pPr>
        <w:pStyle w:val="Heading1"/>
        <w:keepNext/>
      </w:pPr>
      <w:r>
        <w:t>附录B  主要依据与来源</w:t>
      </w:r>
    </w:p>
    <w:p>
      <w:pPr>
        <w:spacing w:after="80" w:line="276" w:lineRule="auto"/>
      </w:pPr>
      <w:hyperlink r:id="rId12">
        <w:r>
          <w:rPr>
            <w:rFonts w:ascii="Calibri" w:hAnsi="Calibri" w:eastAsia="Noto Sans CJK SC"/>
            <w:color w:val="2E74B5"/>
            <w:u w:val="single"/>
            <w:sz w:val="20"/>
          </w:rPr>
          <w:t>[1] U.S. EPA Method 120.1 — Conductance (Specific Conductance at 25°C)</w:t>
        </w:r>
      </w:hyperlink>
    </w:p>
    <w:p>
      <w:pPr>
        <w:spacing w:after="80" w:line="276" w:lineRule="auto"/>
      </w:pPr>
      <w:hyperlink r:id="rId13">
        <w:r>
          <w:rPr>
            <w:rFonts w:ascii="Calibri" w:hAnsi="Calibri" w:eastAsia="Noto Sans CJK SC"/>
            <w:color w:val="2E74B5"/>
            <w:u w:val="single"/>
            <w:sz w:val="20"/>
          </w:rPr>
          <w:t>[2] USGS — Collecting and Processing Stream Water Samples: Specific Conductance</w:t>
        </w:r>
      </w:hyperlink>
    </w:p>
    <w:p>
      <w:pPr>
        <w:spacing w:after="80" w:line="276" w:lineRule="auto"/>
      </w:pPr>
      <w:hyperlink r:id="rId14">
        <w:r>
          <w:rPr>
            <w:rFonts w:ascii="Calibri" w:hAnsi="Calibri" w:eastAsia="Noto Sans CJK SC"/>
            <w:color w:val="2E74B5"/>
            <w:u w:val="single"/>
            <w:sz w:val="20"/>
          </w:rPr>
          <w:t>[3] Mettler Toledo — Conductivity Standards: calibration, verification and contamination control</w:t>
        </w:r>
      </w:hyperlink>
    </w:p>
    <w:p>
      <w:pPr>
        <w:spacing w:after="80" w:line="276" w:lineRule="auto"/>
      </w:pPr>
      <w:hyperlink r:id="rId15">
        <w:r>
          <w:rPr>
            <w:rFonts w:ascii="Calibri" w:hAnsi="Calibri" w:eastAsia="Noto Sans CJK SC"/>
            <w:color w:val="2E74B5"/>
            <w:u w:val="single"/>
            <w:sz w:val="20"/>
          </w:rPr>
          <w:t>[4] ISO 7888:1985 — Water quality — Determination of electrical conductivity</w:t>
        </w:r>
      </w:hyperlink>
    </w:p>
    <w:p>
      <w:pPr>
        <w:spacing w:after="80" w:line="276" w:lineRule="auto"/>
      </w:pPr>
      <w:hyperlink r:id="rId16">
        <w:r>
          <w:rPr>
            <w:rFonts w:ascii="Calibri" w:hAnsi="Calibri" w:eastAsia="Noto Sans CJK SC"/>
            <w:color w:val="2E74B5"/>
            <w:u w:val="single"/>
            <w:sz w:val="20"/>
          </w:rPr>
          <w:t>[5] NIST SP 260-142 — Primary Standards and Standard Reference Materials for Electrolytic Conductivity</w:t>
        </w:r>
      </w:hyperlink>
    </w:p>
    <w:p>
      <w:pPr>
        <w:spacing w:after="80" w:line="276" w:lineRule="auto"/>
      </w:pPr>
      <w:hyperlink r:id="rId17">
        <w:r>
          <w:rPr>
            <w:rFonts w:ascii="Calibri" w:hAnsi="Calibri" w:eastAsia="Noto Sans CJK SC"/>
            <w:color w:val="2E74B5"/>
            <w:u w:val="single"/>
            <w:sz w:val="20"/>
          </w:rPr>
          <w:t>[6] Thermo Fisher — Conductivity measurement, temperature compensation and meter specifications</w:t>
        </w:r>
      </w:hyperlink>
    </w:p>
    <w:p>
      <w:pPr>
        <w:spacing w:after="80" w:line="276" w:lineRule="auto"/>
      </w:pPr>
      <w:hyperlink r:id="rId18">
        <w:r>
          <w:rPr>
            <w:rFonts w:ascii="Calibri" w:hAnsi="Calibri" w:eastAsia="Noto Sans CJK SC"/>
            <w:color w:val="2E74B5"/>
            <w:u w:val="single"/>
            <w:sz w:val="20"/>
          </w:rPr>
          <w:t>[7] BIPM JCGM 100:2008 — Evaluation of measurement data: Guide to the expression of uncertainty in measurement</w:t>
        </w:r>
      </w:hyperlink>
    </w:p>
    <w:p>
      <w:pPr>
        <w:spacing w:after="80" w:line="276" w:lineRule="auto"/>
      </w:pPr>
      <w:hyperlink r:id="rId19">
        <w:r>
          <w:rPr>
            <w:rFonts w:ascii="Calibri" w:hAnsi="Calibri" w:eastAsia="Noto Sans CJK SC"/>
            <w:color w:val="2E74B5"/>
            <w:u w:val="single"/>
            <w:sz w:val="20"/>
          </w:rPr>
          <w:t>[8] Texas Instruments — ADS1256 24-bit ADC product information</w:t>
        </w:r>
      </w:hyperlink>
    </w:p>
    <w:p>
      <w:pPr>
        <w:spacing w:after="80" w:line="276" w:lineRule="auto"/>
      </w:pPr>
      <w:hyperlink r:id="rId20">
        <w:r>
          <w:rPr>
            <w:rFonts w:ascii="Calibri" w:hAnsi="Calibri" w:eastAsia="Noto Sans CJK SC"/>
            <w:color w:val="2E74B5"/>
            <w:u w:val="single"/>
            <w:sz w:val="20"/>
          </w:rPr>
          <w:t>[9] Espressif — ESP32-S3 Series Datasheet</w:t>
        </w:r>
      </w:hyperlink>
    </w:p>
    <w:p>
      <w:pPr>
        <w:spacing w:after="80" w:line="276" w:lineRule="auto"/>
      </w:pPr>
      <w:hyperlink r:id="rId21">
        <w:r>
          <w:rPr>
            <w:rFonts w:ascii="Calibri" w:hAnsi="Calibri" w:eastAsia="Noto Sans CJK SC"/>
            <w:color w:val="2E74B5"/>
            <w:u w:val="single"/>
            <w:sz w:val="20"/>
          </w:rPr>
          <w:t>[10] Raspberry Pi — Raspberry Pi computer hardware and UART documentation</w:t>
        </w:r>
      </w:hyperlink>
    </w:p>
    <w:p>
      <w:pPr>
        <w:spacing w:after="80" w:line="276" w:lineRule="auto"/>
      </w:pPr>
      <w:r>
        <w:t>[11] 历史候选参考：DFRobot Gravity Analog EC Sensor（仅用于理解交流激励，不代表选定架构）</w:t>
      </w:r>
    </w:p>
    <w:p>
      <w:pPr>
        <w:spacing w:after="80" w:line="276" w:lineRule="auto"/>
      </w:pPr>
      <w:hyperlink r:id="rId23">
        <w:r>
          <w:rPr>
            <w:rFonts w:ascii="Calibri" w:hAnsi="Calibri" w:eastAsia="Noto Sans CJK SC"/>
            <w:color w:val="2E74B5"/>
            <w:u w:val="single"/>
            <w:sz w:val="20"/>
          </w:rPr>
          <w:t>[12] NIST/SEMATECH — Regression model validation and residual analysis</w:t>
        </w:r>
      </w:hyperlink>
    </w:p>
    <w:p>
      <w:r>
        <w:rPr>
          <w:rFonts w:ascii="Calibri" w:hAnsi="Calibri" w:eastAsia="Noto Sans CJK SC"/>
          <w:color w:val="000000"/>
          <w:sz w:val="22"/>
        </w:rPr>
        <w:t>说明：以上权威方法与厂家资料用于确定工程方向；本文中的自动判稳阈值、NaCl浓度水平和条件放行限属于项目工程规格，必须由实机台架数据验证后冻结。</w:t>
      </w:r>
    </w:p>
    <w:sectPr w:rsidR="00FC693F" w:rsidRPr="0006063C" w:rsidSect="00034616">
      <w:headerReference w:type="default" r:id="rId9"/>
      <w:footerReference w:type="default" r:id="rId10"/>
      <w:headerReference w:type="first" r:id="rId24"/>
      <w:headerReference w:type="even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Noto Sans CJK SC"/>
        <w:color w:val="666666"/>
        <w:sz w:val="18"/>
      </w:rPr>
      <w:t xml:space="preserve">第 </w:t>
    </w:r>
    <w:r>
      <w:rPr>
        <w:rFonts w:ascii="Calibri" w:hAnsi="Calibri" w:eastAsia="Noto Sans CJK SC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CJK SC"/>
        <w:color w:val="666666"/>
        <w:sz w:val="18"/>
      </w:rPr>
      <w:t>需求规格说明书  |  EXP-EC-001  | 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259"/>
    </w:pPr>
    <w:rPr>
      <w:rFonts w:ascii="Consolas" w:hAnsi="Consolas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nepis.epa.gov/Exe/ZyPURL.cgi?Dockey=30000Q10.TXT" TargetMode="External"/><Relationship Id="rId13" Type="http://schemas.openxmlformats.org/officeDocument/2006/relationships/hyperlink" Target="https://water.usgs.gov/nawqa/pnsp/pubs/ofr94-455/sw-t.html" TargetMode="External"/><Relationship Id="rId14" Type="http://schemas.openxmlformats.org/officeDocument/2006/relationships/hyperlink" Target="https://www.mt.com/ph/en/home/products/Laboratory_Analytics_Browse/pH-meter/pH-buffer-standard-and-electrolyte/conductivity-standard.html" TargetMode="External"/><Relationship Id="rId15" Type="http://schemas.openxmlformats.org/officeDocument/2006/relationships/hyperlink" Target="https://www.iso.org/standard/14838.html" TargetMode="External"/><Relationship Id="rId16" Type="http://schemas.openxmlformats.org/officeDocument/2006/relationships/hyperlink" Target="https://www.nist.gov/document/260-142-2ndversionpdf" TargetMode="External"/><Relationship Id="rId17" Type="http://schemas.openxmlformats.org/officeDocument/2006/relationships/hyperlink" Target="https://www.thermofisher.com/cl/en/home/life-science/lab-equipment/ph-electrochemistry/conductivity-measurement-testing.html" TargetMode="External"/><Relationship Id="rId18" Type="http://schemas.openxmlformats.org/officeDocument/2006/relationships/hyperlink" Target="https://www.bipm.org/en/doi/10.59161/jcgm100-2008e" TargetMode="External"/><Relationship Id="rId19" Type="http://schemas.openxmlformats.org/officeDocument/2006/relationships/hyperlink" Target="https://www.ti.com/product/ADS1256" TargetMode="External"/><Relationship Id="rId20" Type="http://schemas.openxmlformats.org/officeDocument/2006/relationships/hyperlink" Target="https://documentation.espressif.com/esp32-s3_datasheet_en.pdf" TargetMode="External"/><Relationship Id="rId21" Type="http://schemas.openxmlformats.org/officeDocument/2006/relationships/hyperlink" Target="https://www.raspberrypi.com/documentation/computers/raspberry-pi.html" TargetMode="External"/><Relationship Id="rId22" Type="http://schemas.openxmlformats.org/officeDocument/2006/relationships/hyperlink" Target="https://wiki.dfrobot.com/dfr0300/" TargetMode="External"/><Relationship Id="rId23" Type="http://schemas.openxmlformats.org/officeDocument/2006/relationships/hyperlink" Target="https://www.itl.nist.gov/div898/handbook/pmd/section6/pmd623.htm" TargetMode="External"/><Relationship Id="rId24" Type="http://schemas.openxmlformats.org/officeDocument/2006/relationships/header" Target="header2.xml"/><Relationship Id="rId2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溶液导电性相对比较需求规格说明书 v0.2</dc:title>
  <dc:subject>电极电压/电流测量、Kcell 校准与温度补偿路线修订</dc:subject>
  <dc:creator>项目组</dc:creator>
  <cp:keywords>电导率, EC, 树莓派, ESP32, 校准, 拟合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