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Noto Sans CJK SC"/>
          <w:b/>
          <w:color w:val="2E74B5"/>
          <w:sz w:val="21"/>
        </w:rPr>
        <w:t>项目交接文档</w:t>
      </w:r>
    </w:p>
    <w:p>
      <w:pPr>
        <w:spacing w:before="0" w:after="80"/>
      </w:pPr>
      <w:r>
        <w:rPr>
          <w:rFonts w:ascii="Calibri" w:hAnsi="Calibri" w:eastAsia="Noto Sans CJK SC"/>
          <w:b/>
          <w:color w:val="000000"/>
          <w:sz w:val="46"/>
        </w:rPr>
        <w:t>树莓派电化学实验数据采集系统</w:t>
      </w:r>
    </w:p>
    <w:p>
      <w:pPr>
        <w:spacing w:before="0" w:after="320"/>
      </w:pPr>
      <w:r>
        <w:rPr>
          <w:rFonts w:ascii="Calibri" w:hAnsi="Calibri" w:eastAsia="Noto Sans CJK SC"/>
          <w:color w:val="666666"/>
          <w:sz w:val="28"/>
        </w:rPr>
        <w:t>首个实验：不同溶液导电性相对比较</w:t>
      </w:r>
    </w:p>
    <w:p>
      <w:pPr>
        <w:spacing w:before="0" w:after="60" w:line="252" w:lineRule="auto"/>
      </w:pPr>
      <w:r>
        <w:rPr>
          <w:rFonts w:ascii="Calibri" w:hAnsi="Calibri" w:eastAsia="Noto Sans CJK SC"/>
          <w:b/>
          <w:color w:val="000000"/>
          <w:sz w:val="21"/>
        </w:rPr>
        <w:t>文档编号：</w:t>
      </w:r>
      <w:r>
        <w:rPr>
          <w:rFonts w:ascii="Calibri" w:hAnsi="Calibri" w:eastAsia="Noto Sans CJK SC"/>
          <w:color w:val="000000"/>
          <w:sz w:val="21"/>
        </w:rPr>
        <w:t>RPI-EC-HO-001</w:t>
      </w:r>
    </w:p>
    <w:p>
      <w:pPr>
        <w:spacing w:before="0" w:after="60" w:line="252" w:lineRule="auto"/>
      </w:pPr>
      <w:r>
        <w:rPr>
          <w:rFonts w:ascii="Calibri" w:hAnsi="Calibri" w:eastAsia="Noto Sans CJK SC"/>
          <w:b/>
          <w:color w:val="000000"/>
          <w:sz w:val="21"/>
        </w:rPr>
        <w:t>版本：v1.1（电导率 I–V 测量路线修订）</w:t>
      </w:r>
    </w:p>
    <w:p>
      <w:pPr>
        <w:spacing w:before="0" w:after="60" w:line="252" w:lineRule="auto"/>
      </w:pPr>
      <w:r>
        <w:rPr>
          <w:rFonts w:ascii="Calibri" w:hAnsi="Calibri" w:eastAsia="Noto Sans CJK SC"/>
          <w:b/>
          <w:color w:val="000000"/>
          <w:sz w:val="21"/>
        </w:rPr>
        <w:t>交接日期：2026-08-22</w:t>
      </w:r>
    </w:p>
    <w:p>
      <w:pPr>
        <w:spacing w:before="0" w:after="60" w:line="252" w:lineRule="auto"/>
      </w:pPr>
      <w:r>
        <w:rPr>
          <w:rFonts w:ascii="Calibri" w:hAnsi="Calibri" w:eastAsia="Noto Sans CJK SC"/>
          <w:b/>
          <w:color w:val="000000"/>
          <w:sz w:val="21"/>
        </w:rPr>
        <w:t>当前里程碑：Phase 3 / Phase 7 软件闭环已完成；真实 I–V 硬件链路待台架</w:t>
      </w:r>
    </w:p>
    <w:p>
      <w:pPr>
        <w:spacing w:before="0" w:after="60" w:line="252" w:lineRule="auto"/>
      </w:pPr>
      <w:r>
        <w:rPr>
          <w:rFonts w:ascii="Calibri" w:hAnsi="Calibri" w:eastAsia="Noto Sans CJK SC"/>
          <w:b/>
          <w:color w:val="000000"/>
          <w:sz w:val="21"/>
        </w:rPr>
        <w:t>当前基线：《溶液导电性相对比较_需求规格说明书_v0.2》</w:t>
      </w:r>
    </w:p>
    <w:p>
      <w:pPr>
        <w:spacing w:before="0" w:after="60" w:line="252" w:lineRule="auto"/>
      </w:pPr>
      <w:r>
        <w:rPr>
          <w:rFonts w:ascii="Calibri" w:hAnsi="Calibri" w:eastAsia="Noto Sans CJK SC"/>
          <w:b/>
          <w:color w:val="000000"/>
          <w:sz w:val="21"/>
        </w:rPr>
        <w:t>适用对象：</w:t>
      </w:r>
      <w:r>
        <w:rPr>
          <w:rFonts w:ascii="Calibri" w:hAnsi="Calibri" w:eastAsia="Noto Sans CJK SC"/>
          <w:color w:val="000000"/>
          <w:sz w:val="21"/>
        </w:rPr>
        <w:t>项目负责人、接手开发者、Web 成员、硬件/固件成员、导师</w:t>
      </w:r>
    </w:p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8E2"/>
          <w:left w:val="single" w:sz="5" w:space="0" w:color="D0D8E2"/>
          <w:bottom w:val="single" w:sz="5" w:space="0" w:color="D0D8E2"/>
          <w:right w:val="single" w:sz="5" w:space="0" w:color="D0D8E2"/>
          <w:insideH w:val="single" w:sz="5" w:space="0" w:color="D0D8E2"/>
          <w:insideV w:val="single" w:sz="5" w:space="0" w:color="D0D8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6F3"/>
          </w:tcPr>
          <w:p>
            <w:pPr>
              <w:spacing w:after="0" w:line="276" w:lineRule="auto"/>
            </w:pPr>
            <w:r>
              <w:rPr>
                <w:rFonts w:ascii="Calibri" w:hAnsi="Calibri" w:eastAsia="Noto Sans CJK SC"/>
                <w:b/>
                <w:color w:val="1F6D4A"/>
                <w:sz w:val="21"/>
              </w:rPr>
              <w:t>交接结论：项目已从“买模块做展示”转为可校准、可追溯的电极 I–V 测量路线。Phase 3/7 软件闭环已完成；下一优先级是温度通道、I–V 电气台架、导电池 Kcell 与温补验证。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文档导航</w:t>
      </w:r>
    </w:p>
    <w:p>
      <w:pPr>
        <w:spacing w:after="20" w:line="240" w:lineRule="auto"/>
      </w:pPr>
      <w:r>
        <w:rPr>
          <w:rFonts w:ascii="Calibri" w:hAnsi="Calibri" w:eastAsia="Noto Sans CJK SC"/>
          <w:color w:val="0B2545"/>
          <w:sz w:val="17"/>
        </w:rPr>
        <w:t>1. 一页交接摘要  |  2. 项目定位与范围</w:t>
      </w:r>
    </w:p>
    <w:p>
      <w:pPr>
        <w:spacing w:after="20" w:line="240" w:lineRule="auto"/>
      </w:pPr>
      <w:r>
        <w:rPr>
          <w:rFonts w:ascii="Calibri" w:hAnsi="Calibri" w:eastAsia="Noto Sans CJK SC"/>
          <w:color w:val="0B2545"/>
          <w:sz w:val="17"/>
        </w:rPr>
        <w:t>3. 已冻结的关键决策  |  4. 系统与测量链路架构</w:t>
      </w:r>
    </w:p>
    <w:p>
      <w:pPr>
        <w:spacing w:after="20" w:line="240" w:lineRule="auto"/>
      </w:pPr>
      <w:r>
        <w:rPr>
          <w:rFonts w:ascii="Calibri" w:hAnsi="Calibri" w:eastAsia="Noto Sans CJK SC"/>
          <w:color w:val="0B2545"/>
          <w:sz w:val="17"/>
        </w:rPr>
        <w:t>5. 硬件与采购交接  |  6. 测量与校准基线</w:t>
      </w:r>
    </w:p>
    <w:p>
      <w:pPr>
        <w:spacing w:after="20" w:line="240" w:lineRule="auto"/>
      </w:pPr>
      <w:r>
        <w:rPr>
          <w:rFonts w:ascii="Calibri" w:hAnsi="Calibri" w:eastAsia="Noto Sans CJK SC"/>
          <w:color w:val="0B2545"/>
          <w:sz w:val="17"/>
        </w:rPr>
        <w:t>7. 实验、数据与拟合基线  |  8. 软件架构与接口约定</w:t>
      </w:r>
    </w:p>
    <w:p>
      <w:pPr>
        <w:spacing w:after="20" w:line="240" w:lineRule="auto"/>
      </w:pPr>
      <w:r>
        <w:rPr>
          <w:rFonts w:ascii="Calibri" w:hAnsi="Calibri" w:eastAsia="Noto Sans CJK SC"/>
          <w:color w:val="0B2545"/>
          <w:sz w:val="17"/>
        </w:rPr>
        <w:t>9. 开发路线与里程碑状态  |  10. Phase 0 实机现状与续接步骤</w:t>
      </w:r>
    </w:p>
    <w:p>
      <w:pPr>
        <w:spacing w:after="20" w:line="240" w:lineRule="auto"/>
      </w:pPr>
      <w:r>
        <w:rPr>
          <w:rFonts w:ascii="Calibri" w:hAnsi="Calibri" w:eastAsia="Noto Sans CJK SC"/>
          <w:color w:val="0B2545"/>
          <w:sz w:val="17"/>
        </w:rPr>
        <w:t>11. 仓库与工程约定  |  12. 分工、风险与待决事项</w:t>
      </w:r>
    </w:p>
    <w:p>
      <w:pPr>
        <w:spacing w:after="20" w:line="240" w:lineRule="auto"/>
      </w:pPr>
      <w:r>
        <w:rPr>
          <w:rFonts w:ascii="Calibri" w:hAnsi="Calibri" w:eastAsia="Noto Sans CJK SC"/>
          <w:color w:val="0B2545"/>
          <w:sz w:val="17"/>
        </w:rPr>
        <w:t>13. 文档资产索引与交接验收  |  附录：首日检查表、术语与依据</w:t>
      </w:r>
    </w:p>
    <w:p>
      <w:r>
        <w:br w:type="page"/>
      </w:r>
    </w:p>
    <w:p>
      <w:pPr>
        <w:pStyle w:val="Heading1"/>
        <w:keepNext/>
      </w:pPr>
      <w:r>
        <w:t>1. 一页交接摘要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8E2"/>
          <w:left w:val="single" w:sz="5" w:space="0" w:color="D0D8E2"/>
          <w:bottom w:val="single" w:sz="5" w:space="0" w:color="D0D8E2"/>
          <w:right w:val="single" w:sz="5" w:space="0" w:color="D0D8E2"/>
          <w:insideH w:val="single" w:sz="5" w:space="0" w:color="D0D8E2"/>
          <w:insideV w:val="single" w:sz="5" w:space="0" w:color="D0D8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Calibri" w:hAnsi="Calibri" w:eastAsia="Noto Sans CJK SC"/>
                <w:b/>
                <w:color w:val="1F4D78"/>
                <w:sz w:val="21"/>
              </w:rPr>
              <w:t>当前状态：Phase 0–3 与 Phase 7 软件闭环已完成并在树莓派部署；真实导电率硬件尚未接入，Phase 4 温度通道与 Phase 5 I–V 链路待台架。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650"/>
        <w:gridCol w:w="6500"/>
        <w:gridCol w:w="1210"/>
      </w:tblGrid>
      <w:tr>
        <w:trPr>
          <w:tblHeader w:val="true"/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交接结论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项目目标</w:t>
            </w:r>
          </w:p>
        </w:tc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构建可实时采集、显示、校准、记录和拟合实验数据的树莓派端平台；首版服务于中学/高校实验演示与科研训练。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保持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首个实验</w:t>
            </w:r>
          </w:p>
        </w:tc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不同溶液导电性相对比较；包含不同溶质比较和 NaCl 浓度梯度。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已冻结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测量架构</w:t>
            </w:r>
          </w:p>
        </w:tc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电极 I–V 路线：受控交流/双极性激励，采集 U/I/T，计算 G、κ(T) 与 κ25。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已修订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当前软件</w:t>
            </w:r>
          </w:p>
        </w:tc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Phase 3/7 软件闭环已完成；真实硬件尚未接入。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软件已完成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下一里程碑</w:t>
            </w:r>
          </w:p>
        </w:tc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完成 Phase 4 温度通道与 Phase 5 I–V 电气/标准液台架。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待执行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暂缓范围</w:t>
            </w:r>
          </w:p>
        </w:tc>
        <w:tc>
          <w:tcPr>
            <w:tcW w:type="dxa" w:w="6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pH/ORP、多参数同步、三电极、恒电位/恒电流、CV/CA 及自研 PCB。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不得抢跑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接手者下一步只做三件事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SC"/>
          <w:color w:val="000000"/>
          <w:sz w:val="22"/>
        </w:rPr>
        <w:t>完成 Phase 0：安装基础依赖和 Node.js 24 LTS，建立 monorepo、Python 虚拟环境、FastAPI 健康检查与首次 Git 提交。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SC"/>
          <w:color w:val="000000"/>
          <w:sz w:val="22"/>
        </w:rPr>
        <w:t>已完成 Phase 1/2/3/7：Mock Device、采集引擎、WebSocket、实时曲线、状态机、SQLite、历史与导出已贯通。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Noto Sans CJK SC"/>
          <w:color w:val="000000"/>
          <w:sz w:val="22"/>
        </w:rPr>
        <w:t>下一主线按 SRS v0.2 搭建电极 I–V 台架：受控交流/双极性激励，同步采集电压、电流与温度，经 Kcell 校准和温补得到电导率；未经台架数据不声明量程或精度。</w:t>
      </w:r>
    </w:p>
    <w:p>
      <w:pPr>
        <w:pStyle w:val="Heading2"/>
        <w:keepNext/>
      </w:pPr>
      <w:r>
        <w:t>1.2 禁止事项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禁止把 BA121S、CM2 或其他现成电导率模块的数字输出作为正式测量真值；旧模块路线仅保留历史记录。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禁止用 GPIO 或未验证的直流长期激励直接驱动电极；必须控制极化、电解、气泡与输入保护风险。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禁止在缺少原始 U/I/T、通道校准、Kcell 和温补模型版本时生成正式 κ(T) 或 κ25 结果。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禁止覆盖原始数据；温补、滤波、校准和人工修订必须生成新层和审计记录。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ADS1256、DAC、采样电阻/TIA 与运放可用于电导率 I–V 链路；不得因此把该链路误写为三电极恒电位仪，后者仍单独后置。</w:t>
      </w:r>
    </w:p>
    <w:p>
      <w:pPr>
        <w:pStyle w:val="Heading1"/>
        <w:keepNext/>
      </w:pPr>
      <w:r>
        <w:t>2. 项目定位与范围</w:t>
      </w:r>
    </w:p>
    <w:p>
      <w:r>
        <w:rPr>
          <w:rFonts w:ascii="Calibri" w:hAnsi="Calibri" w:eastAsia="Noto Sans CJK SC"/>
          <w:color w:val="000000"/>
          <w:sz w:val="22"/>
        </w:rPr>
        <w:t>项目名称沿用“树莓派在电化学设备的应用开发”。首版产品形态更接近可扩展的实验数据采集与分析平台，而不是研究级商业电化学工作站。项目竞争力来自软件平台、可复现实验流程和可扩展采集核心，而不是单个传感器参数。</w:t>
      </w:r>
    </w:p>
    <w:p>
      <w:pPr>
        <w:pStyle w:val="Heading2"/>
        <w:keepNext/>
      </w:pPr>
      <w:r>
        <w:t>2.1 首版实验范围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00"/>
        <w:gridCol w:w="2200"/>
        <w:gridCol w:w="626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模式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名称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最低内容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溶液相对比较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在同一测量链路内比较 DI 水、自来水、盐水/糖水等样品，输出排序、不确定性和不可区分结论。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B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NaCl 浓度梯度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空白 + 2/4/6/8/10 mmol/L；每水平至少 3 次独立重复；拟合浓度-电导率关系。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链路台架验收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标准液、温度点、重复性、漂移、10 分钟通信与判稳参数验证。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明确不属于首版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不覆盖海水、浓盐水或超过 I–V 链路台架验证范围的样品，也不做法定计量或环境合规声明。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不从 EC 单值唯一反演 TDS、盐度、离子种类或未知溶液浓度。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不把连续时间点当作独立重复；每个正式样品至少 3 次重新取样或重新浸入。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pH、ORP、三电极 CV/CA/EIS 作为后续扩展，不能阻塞 EC MVP。</w:t>
      </w:r>
    </w:p>
    <w:p>
      <w:pPr>
        <w:pStyle w:val="Heading1"/>
        <w:keepNext/>
      </w:pPr>
      <w:r>
        <w:t>3. 已冻结的关键决策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00"/>
        <w:gridCol w:w="1850"/>
        <w:gridCol w:w="5200"/>
        <w:gridCol w:w="141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ID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决策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执行含义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生效点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D-01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测量优先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先定义测量量、误差、校准、数据和验收，再写驱动和界面。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M0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D-02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I–V 自研测量链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现成 EC 模块退出正式路线；原始量为电极电压、电流和温度。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2026-08-22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D-03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分层数据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Raw / Calibrated / Derived 分离；Raw 只追加。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M0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D-04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路径可追溯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每帧、校准、结果、报告均携带 sensor_path_id 和 calibration_id。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M0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D-05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Mock 先行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真实硬件不到位时，前后端仍须靠模拟设备完成全链路。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M1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D-06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接口分工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REST 用于控制/配置；WebSocket 用于实时数据与状态。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Phase 3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D-07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确定性采集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ESP32-S3 负责串口、时间戳、缓存和确定性 I/O；树莓派负责服务与分析。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M2+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D-08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三电极后置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先完成水质传感闭环；三电极另立路线，优先评估 AD5940/成熟 OEM。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M5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8E2"/>
          <w:left w:val="single" w:sz="5" w:space="0" w:color="D0D8E2"/>
          <w:bottom w:val="single" w:sz="5" w:space="0" w:color="D0D8E2"/>
          <w:right w:val="single" w:sz="5" w:space="0" w:color="D0D8E2"/>
          <w:insideH w:val="single" w:sz="5" w:space="0" w:color="D0D8E2"/>
          <w:insideV w:val="single" w:sz="5" w:space="0" w:color="D0D8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E6"/>
          </w:tcPr>
          <w:p>
            <w:pPr>
              <w:spacing w:after="0" w:line="276" w:lineRule="auto"/>
            </w:pPr>
            <w:r>
              <w:rPr>
                <w:rFonts w:ascii="Calibri" w:hAnsi="Calibri" w:eastAsia="Noto Sans CJK SC"/>
                <w:b/>
                <w:color w:val="7A5A00"/>
                <w:sz w:val="21"/>
              </w:rPr>
              <w:t>变更控制：</w:t>
            </w:r>
            <w:r>
              <w:rPr>
                <w:rFonts w:ascii="Calibri" w:hAnsi="Calibri" w:eastAsia="Noto Sans CJK SC"/>
                <w:color w:val="000000"/>
                <w:sz w:val="21"/>
              </w:rPr>
              <w:t>任何对量程、样品矩阵、校准、判稳、字段、接口或验收门槛的修改，都要升级文档版本并记录原因、影响范围和回归测试；不得静默修改冻结基线。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系统与测量链路架构</w:t>
      </w:r>
    </w:p>
    <w:p>
      <w:pPr>
        <w:spacing w:before="80" w:after="40"/>
        <w:jc w:val="center"/>
      </w:pPr>
      <w:r>
        <w:t>Web UI ↔ FastAPI / Instrument Core ↔ ESP32-S3 采集控制 ↔ 激励源 + 电压/电流 AFE + ADC + 温度传感器 ↔ 导电池电极</w:t>
      </w:r>
    </w:p>
    <w:p>
      <w:pPr>
        <w:spacing w:before="80" w:after="80"/>
        <w:jc w:val="center"/>
      </w:pPr>
      <w:r>
        <w:rPr>
          <w:rFonts w:ascii="Calibri" w:hAnsi="Calibri" w:eastAsia="Noto Sans CJK SC"/>
          <w:i/>
          <w:color w:val="666666"/>
          <w:sz w:val="18"/>
        </w:rPr>
        <w:t>图 1  修订后的系统与 I–V 测量架构</w:t>
      </w:r>
    </w:p>
    <w:p>
      <w:pPr>
        <w:pStyle w:val="Heading2"/>
        <w:keepNext/>
      </w:pPr>
      <w:r>
        <w:t>4.1 软件分层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800"/>
        <w:gridCol w:w="5600"/>
        <w:gridCol w:w="19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层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边界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Web UI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实验信息、实时值、曲线、开始/停止/重启、异常和连接状态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不直接访问硬件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Web API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FastAPI REST 与 WebSocket，鉴权/配置后置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不承载确定性采样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Instrument Core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采集引擎、分析引擎、存储、安全管理、设备抽象与状态机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核心可复用层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Hardware Layer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ESP32-S3、激励源、电压/电流 AFE、ADC、DS18B20、导电池电极；三电极后置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电导率链路与恒电位仪分开验收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Data Layer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Raw / Calibrated / Derived、SQLite、导出与报告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审计可追溯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电极 I–V 测量计算链</w:t>
      </w:r>
    </w:p>
    <w:p>
      <w:pPr>
        <w:spacing w:before="80" w:after="40"/>
        <w:jc w:val="center"/>
      </w:pPr>
      <w:r>
        <w:t>u_cell(t)、i_cell(t)、T → 通道校准 → G(T)=I/U → κ(T)=Kcell·G(T) → 经验证的温度补偿 → κ25</w:t>
      </w:r>
    </w:p>
    <w:p>
      <w:pPr>
        <w:spacing w:before="80" w:after="80"/>
        <w:jc w:val="center"/>
      </w:pPr>
      <w:r>
        <w:rPr>
          <w:rFonts w:ascii="Calibri" w:hAnsi="Calibri" w:eastAsia="Noto Sans CJK SC"/>
          <w:i/>
          <w:color w:val="666666"/>
          <w:sz w:val="18"/>
        </w:rPr>
        <w:t>图 2  U/I/T 到 κ25 的可追溯计算链</w:t>
      </w:r>
    </w:p>
    <w:p>
      <w:pPr>
        <w:pStyle w:val="Heading1"/>
        <w:keepNext/>
      </w:pPr>
      <w:r>
        <w:t>5. 硬件与采购交接</w:t>
      </w:r>
    </w:p>
    <w:p>
      <w:r>
        <w:rPr>
          <w:rFonts w:ascii="Calibri" w:hAnsi="Calibri" w:eastAsia="Noto Sans CJK SC"/>
          <w:color w:val="000000"/>
          <w:sz w:val="22"/>
        </w:rPr>
        <w:t>下表按跨会话采购记录整理。数量、到货状态、序列号和液体批号仍须以实物与发票清点为准；未明确的数量不在本文中猜测。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700"/>
        <w:gridCol w:w="5000"/>
        <w:gridCol w:w="26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类别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设备/材料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交接状态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计算与供电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Raspberry Pi 5 8GB、官方电源、官方散热/风扇、64GB Micro SD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已采购；Pi 已开机并可 SSH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实时控制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ESP32-S3-N16R8 开发板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已采购；尚未确认固件与 USB 协议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历史 EC 模块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BA121S 集成探头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已采购；不进入正式测量路线，可留作对照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历史 EC 模块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CM2 模块及专用探头/NTC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已采购；不进入正式测量路线，可留作对照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温度/pH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DS18B20；pH 模块与探头及相关液体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已采购；不是当前阻塞项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激励与采集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ADS1256、MCP4728、REF5025IDR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转为 I–V 链路候选器件；需完成噪声、带宽、同步和保护台架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模拟前端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OPA1612AID、OPA2140AID、采样电阻/TIA、转接板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用于电压/电流调理；参数与量程待设计验证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搭建与调试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实验室电源、逻辑分析仪、面包板、杜邦线、R/C 包、保护/通信/温度配件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已采购；型号与数量待建台账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标准液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1413 μS/cm；低、中、高点标准液待按目标量程补齐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用于 Kcell 与温补验证；不得以单点证明全量程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延期或条件采购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600"/>
        <w:gridCol w:w="1500"/>
        <w:gridCol w:w="5260"/>
      </w:tblGrid>
      <w:tr>
        <w:trPr>
          <w:tblHeader w:val="true"/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触发条件/理由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三电极电解池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延期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与电极、池盖尽量同厂，进入 M5 前再定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Ag/AgCl 参比、玻碳工作、铂丝对电极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延期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三电极路线冻结后成套采购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导电池/EC 电极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待选型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二/四电极由量程、极化、接触阻抗和重复性台架决定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低导标准液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需要补充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低点 Kcell/线性与 LOQ 验证必需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中高点标准液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需要补充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与 1413 μS/cm 共同覆盖目标工作区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AD5940 / EmStat Pico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方案待定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三电极第二阶段优先评估，不与离散路线同时铺开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8E2"/>
          <w:left w:val="single" w:sz="5" w:space="0" w:color="D0D8E2"/>
          <w:bottom w:val="single" w:sz="5" w:space="0" w:color="D0D8E2"/>
          <w:right w:val="single" w:sz="5" w:space="0" w:color="D0D8E2"/>
          <w:insideH w:val="single" w:sz="5" w:space="0" w:color="D0D8E2"/>
          <w:insideV w:val="single" w:sz="5" w:space="0" w:color="D0D8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Noto Sans CJK SC"/>
                <w:b/>
                <w:color w:val="0B2545"/>
                <w:sz w:val="21"/>
              </w:rPr>
              <w:t>库存清点要求：</w:t>
            </w:r>
            <w:r>
              <w:rPr>
                <w:rFonts w:ascii="Calibri" w:hAnsi="Calibri" w:eastAsia="Noto Sans CJK SC"/>
                <w:color w:val="000000"/>
                <w:sz w:val="21"/>
              </w:rPr>
              <w:t>为每个模块/探头建立 asset_id、照片、购买链接、型号、数量、序列号、到货状态和负责人；为标准液记录厂家、批号、证书值、有效期、开瓶日期和 CoA。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6. 测量与校准基线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900"/>
        <w:gridCol w:w="3730"/>
        <w:gridCol w:w="3730"/>
      </w:tblGrid>
      <w:tr>
        <w:trPr>
          <w:tblHeader w:val="true"/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指标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测量定义</w:t>
            </w:r>
          </w:p>
        </w:tc>
        <w:tc>
          <w:tcPr>
            <w:tcW w:type="dxa" w:w="373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冻结/验证状态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sensor_path_id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EC_IV_CELL_&lt;编号&gt;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旧 CM2_WIDE 只保留 Mock 兼容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硬件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导电池电极 + 激励 + 电压通道 + 电流通道 + ADC + 温度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拓扑和器件待台架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原始量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U、I、T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只追加、不可覆盖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计算量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G=I/U；κ(T)=Kcell·G；温补得到 κ25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算法、单位和版本可追溯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激励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交流或双极性；幅值/频率/量程可配置并记录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参数待极化与噪声验证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采集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电压/电流同步或同相算法；10–20 SPS 起步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以带宽、相位和稳定性台架为准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校准/QC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精密阻抗校电气通道；低中高标准液标 Kcell；多温点验温补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未放行前仅定性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目标样品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DI/自来水/标准液/NaCl 梯度，限于已验证工作区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不覆盖海水和浓盐水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校准和批次核查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SC"/>
          <w:color w:val="000000"/>
          <w:sz w:val="22"/>
        </w:rPr>
        <w:t>确认 sensor_path_id、导电池/电极、激励、AFE/ADC、固件版本和校准记录；排除污膜、盐析和气泡。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SC"/>
          <w:color w:val="000000"/>
          <w:sz w:val="22"/>
        </w:rPr>
        <w:t>标准液、探头和参考温度计充分平衡，优先控制在 25.0±0.5°C。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SC"/>
          <w:color w:val="000000"/>
          <w:sz w:val="22"/>
        </w:rPr>
        <w:t>先用精密电阻/阻抗验证电压与电流通道的增益、零点、量程、相位/波形算法、饱和和开短路检测。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SC"/>
          <w:color w:val="000000"/>
          <w:sz w:val="22"/>
        </w:rPr>
        <w:t>再用低、中、高标准液标定 Kcell；保存 U/I/T、标准液批次、激励设置、Kcell、温补模型、校准前后结果和 RSD。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SC"/>
          <w:color w:val="000000"/>
          <w:sz w:val="22"/>
        </w:rPr>
        <w:t>实验前后分别重测对应链路标准：漂移≤3%通过，3%–5%警告，&gt;5%本链路失败并进入 QC_HOLD。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Noto Sans CJK SC"/>
          <w:color w:val="000000"/>
          <w:sz w:val="22"/>
        </w:rPr>
        <w:t>同液多探头采用单探头顺序测量或严格分时供电，避免交流激励串扰和地环路。</w:t>
      </w:r>
    </w:p>
    <w:p>
      <w:pPr>
        <w:pStyle w:val="Heading2"/>
        <w:keepNext/>
      </w:pPr>
      <w:r>
        <w:t>6.2 电极 I–V 链路最低台架门槛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通过门槛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电气通道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精密负载覆盖低/中/高量程；U/I 增益、零点、噪声、相位/波形算法和饱和均有记录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标准液/Kcell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低、中、高点独立核查；目标工作区偏差暂定≤5%，最终以误差预算冻结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重复性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各标准至少10次；CV目标≤1%，并记录重新浸入重复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NaCl五档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3次独立重复；均值单调；相邻差≥3倍合并SD，否则报不可区分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温度补偿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15/25/35°C 验证；目标≤3%，任一点&gt;5%则关闭自动温补并控温测量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连续采集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≥30 min；U/I/T、序号、时钟、质量标志、落库与页面显示连续，无未解释丢帧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实验、数据与拟合基线</w:t>
      </w:r>
    </w:p>
    <w:p>
      <w:pPr>
        <w:pStyle w:val="Heading2"/>
        <w:keepNext/>
      </w:pPr>
      <w:r>
        <w:t>7.1 采集与状态机</w:t>
      </w:r>
    </w:p>
    <w:p>
      <w:r>
        <w:rPr>
          <w:rFonts w:ascii="Calibri" w:hAnsi="Calibri" w:eastAsia="Noto Sans CJK SC"/>
          <w:color w:val="000000"/>
          <w:sz w:val="22"/>
        </w:rPr>
        <w:t>主状态流：BOOT → WARMUP → CALIBRATION/CAL_CHECK → RINSE → BLANK/MEASURE → STABILIZING → STABLE_CAPTURE → RESULT → RINSE_CHECK → NEXT_SAMPLE → END_CHECK → COMPLETE。任何异常进入 QC_HOLD 或 FAILED，但已采集原始数据不得删除。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最低规则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采集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同步/同相采集 U/I/T；保存激励频率、幅值、量程、序号、UTC、monotonic_ms 与 sensor_path_id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完整性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标记缺失、重启、时间倒退、重复帧、U/I 饱和、开短路、温度无效和量程切换；不静默删除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温度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保存 U/I/T；由校准版本计算 G、κ(T)，再按记录的模型计算 κ25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显示滤波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3 点中值或轻度 EWMA 仅服务 UI；原始值与判稳序列可追溯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判稳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20 s 窗口、连续 3 窗通过；稳定后继续采集≥30 s且≥20点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独立重复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每个样品≥3次重新取样或重新浸入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QC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空白、前后标准、漂移、携带污染、通信完整性输出 PASS/WARN/FAIL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数据分层与核心字段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500"/>
        <w:gridCol w:w="6100"/>
        <w:gridCol w:w="17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层</w:t>
            </w:r>
          </w:p>
        </w:tc>
        <w:tc>
          <w:tcPr>
            <w:tcW w:type="dxa" w:w="6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Raw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U/I/T、ADC/通道状态、序号、双时间戳、激励与量程、接收时间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只追加、不可覆盖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Calibrated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电压/电流通道校准、G、Kcell、κ(T)、calibration_id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可重算、保留版本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Derived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κ25、稳定区间、代表值、均值/SD/CV/CI、排序、拟合参数、QC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由处理版本生成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Event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开始/停止、重连、校准、配置变更、人工备注、错误与恢复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审计日志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拟合目标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650"/>
        <w:gridCol w:w="2850"/>
        <w:gridCol w:w="3860"/>
      </w:tblGrid>
      <w:tr>
        <w:trPr>
          <w:tblHeader w:val="true"/>
          <w:cantSplit w:val="true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模型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形式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输出/使用条件</w:t>
            </w:r>
          </w:p>
        </w:tc>
      </w:tr>
      <w:tr>
        <w:trPr>
          <w:cantSplit w:val="true"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经验线性（主模型）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κ25=β0+β1c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β0、β1、95%CI、R²/调整R²、RMSE、MAE</w:t>
            </w:r>
          </w:p>
        </w:tc>
      </w:tr>
      <w:tr>
        <w:trPr>
          <w:cantSplit w:val="true"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Kohlrausch 启发式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κ25=κblank+Λ0c−Kc^(3/2)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κblank、Λ0、K 与 CI；仅作备选解释</w:t>
            </w:r>
          </w:p>
        </w:tc>
      </w:tr>
      <w:tr>
        <w:trPr>
          <w:cantSplit w:val="true"/>
        </w:trPr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经验二次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κ25=β0+β1c+β2c²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仅当残差曲率和交叉验证明显改善时启用</w:t>
            </w:r>
          </w:p>
        </w:tc>
      </w:tr>
    </w:tbl>
    <w:p>
      <w:pPr>
        <w:spacing w:after="0"/>
      </w:pP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默认保留截距，不强制过原点；R² 仅作辅助，必须同时输出残差、RMSE、MAE、AICc 和按浓度水平留一交叉验证。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模型必须声明有效浓度区间并设置 allow_extrapolation=false；区间外显示“不支持预测”。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同链路相对倍数的参考样必须是预先指定的中等非零样品；空白/DI 水不得作分母。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未完成标准液校准和温补验证时，只输出原始 U/I/T 与定性趋势，不输出伪精确电导率结论。</w:t>
      </w:r>
    </w:p>
    <w:p>
      <w:pPr>
        <w:pStyle w:val="Heading1"/>
        <w:keepNext/>
      </w:pPr>
      <w:r>
        <w:t>8. 软件架构与接口约定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800"/>
        <w:gridCol w:w="3900"/>
        <w:gridCol w:w="36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层/工具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技术选择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交接说明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后端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Python 3.13 + FastAPI + Uvicorn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目标基线；先健康检查和 Mock API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实时通信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WebSocket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推送数据、状态和告警；前端不得轮询替代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控制接口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REST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开始、停止、重启、配置、状态查询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前端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Vue 3 + TypeScript + ECharts（当前推荐，Phase 3 定版）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必须支持 Mock/真实后端切换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固件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ESP-IDF / ESP32-S3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M2 后接入，负责 UART、缓存、时间戳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存储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文件优先；SQLite 在实验管理阶段引入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Phase 3 不强制数据库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部署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树莓派本地服务 + Chromium kiosk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后期 Phase 13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Web 最小闭环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页面显示实验名称、状态、开始时间、EC、温度、采样点数和运行时长。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实时绘制 EC-时间曲线；开始、停止、重新开始状态正确，停止后保留曲线。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显示 WebSocket 已连接/已断开/重连中；断线 3 秒内出现明确提示。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字段缺失、非法值或单条坏数据不能导致页面崩溃。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模拟源持续 10 Hz、30 分钟、10,000 点时保持可用；切换真实后端不改核心业务逻辑。</w:t>
      </w:r>
    </w:p>
    <w:p>
      <w:pPr>
        <w:pStyle w:val="Heading2"/>
        <w:keepNext/>
      </w:pPr>
      <w:r>
        <w:t>8.2 接口演进原则</w:t>
      </w:r>
    </w:p>
    <w:p>
      <w:r>
        <w:rPr>
          <w:rFonts w:ascii="Calibri" w:hAnsi="Calibri" w:eastAsia="Noto Sans CJK SC"/>
          <w:color w:val="000000"/>
          <w:sz w:val="22"/>
        </w:rPr>
        <w:t>现有 Web 任务书中的简化消息 {timestamp, ec, temperature, status} 仅用于前端起步。进入 Instrument Core 联调后必须扩展为带 schema_version、seq、timestamp_utc、monotonic_ms、sensor_path_id、calibration_id、quality_flags 与 raw/calibrated/derived 区分的正式协议。前端应通过类型定义和适配层兼容演进，避免消息解析散落在页面组件中。</w:t>
      </w:r>
    </w:p>
    <w:p>
      <w:pPr>
        <w:pStyle w:val="Heading1"/>
        <w:keepNext/>
      </w:pPr>
      <w:r>
        <w:t>9. 开发路线与里程碑状态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300"/>
        <w:gridCol w:w="2200"/>
        <w:gridCol w:w="4640"/>
        <w:gridCol w:w="1220"/>
      </w:tblGrid>
      <w:tr>
        <w:trPr>
          <w:tblHeader w:val="true"/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目标</w:t>
            </w:r>
          </w:p>
        </w:tc>
        <w:tc>
          <w:tcPr>
            <w:tcW w:type="dxa" w:w="46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关键产出</w:t>
            </w:r>
          </w:p>
        </w:tc>
        <w:tc>
          <w:tcPr>
            <w:tcW w:type="dxa" w:w="12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-1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实验需求与测量规格（M0）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需求、链路、指标、校准、处理、拟合、风险、模板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已完成/冻结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开发环境搭建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Pi OS/SSH、Python/Node/Git、仓库、脚手架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软件骨架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数据模型、驱动抽象、采集接口、配置、日志、SQLite 骨架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模拟数据闭环（M1）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Mock、采集引擎、缓存、CSV/SQLite、WebSocket、长跑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3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Web 服务与前端（M1–M2）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REST/WS、页面、控制、曲线、Chromium/Kiosk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温度通道（M2）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DS18B20、位置验证、校准和质量标志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下一阶段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电导率 I–V 链路（M2）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激励、U/I AFE+ADC、精密负载、导电池、Kcell、温补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待台架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6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pH/其他（M2–M3）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 校准、ORP 可选、多通道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延期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数据存储与实验管理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SQLite、实验/参数/批次、历史与导入导出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已完成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数据处理与拟合（M4）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基础拟合已交付；判稳、QC、误差预算和报告待补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部分完成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ESP32 控制层（M4–M5）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激励时序、同步采集、缓存、协议和硬件在环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待开始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10–12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三电极/电化学扩展（M5）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恒电位仪、CV/CA 等独立后续课题，必须安全评审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后置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13–14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Kiosk、稳定性与产品化</w:t>
            </w:r>
          </w:p>
        </w:tc>
        <w:tc>
          <w:tcPr>
            <w:tcW w:type="dxa" w:w="4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自启动、离线、备份、看门狗、文档与验收</w:t>
            </w:r>
          </w:p>
        </w:tc>
        <w:tc>
          <w:tcPr>
            <w:tcW w:type="dxa" w:w="1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后置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8E2"/>
          <w:left w:val="single" w:sz="5" w:space="0" w:color="D0D8E2"/>
          <w:bottom w:val="single" w:sz="5" w:space="0" w:color="D0D8E2"/>
          <w:right w:val="single" w:sz="5" w:space="0" w:color="D0D8E2"/>
          <w:insideH w:val="single" w:sz="5" w:space="0" w:color="D0D8E2"/>
          <w:insideV w:val="single" w:sz="5" w:space="0" w:color="D0D8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Noto Sans CJK SC"/>
                <w:b/>
                <w:color w:val="0B2545"/>
                <w:sz w:val="21"/>
              </w:rPr>
              <w:t>周期参考：</w:t>
            </w:r>
            <w:r>
              <w:rPr>
                <w:rFonts w:ascii="Calibri" w:hAnsi="Calibri" w:eastAsia="Noto Sans CJK SC"/>
                <w:color w:val="000000"/>
                <w:sz w:val="21"/>
              </w:rPr>
              <w:t>原路线估算整体约 20–28 周（MVP 约 10 周），应按资源拆分并以里程碑验收推进；不得用并行开坑替代闭环交付。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10. Phase 0 实机快照（历史记录）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800"/>
        <w:gridCol w:w="5200"/>
        <w:gridCol w:w="23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实机结果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操作系统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Debian GNU/Linux 13.5 (trixie)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已验证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架构/内存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aarch64；7.9 GiB，检查时可用约 7.4 GiB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正常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存储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根分区 58G；已用 6.6G；可用 49G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正常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Swap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2.0 GiB；检查时未使用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正常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供电/温控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vcgencmd get_throttled = 0x0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无欠压/过热历史标志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时间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Asia/Singapore +08；NTP active；系统已同步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建议改 Asia/Shanghai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网络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主机名 RPI5；当次 IPv4 192.168.157.190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地址可能由 DHCP 变化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远程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SSH active，已可登录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Python/Git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Python 3.13.5；Git 2.47.3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已安装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Node/npm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未安装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待完成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8E2"/>
          <w:left w:val="single" w:sz="5" w:space="0" w:color="D0D8E2"/>
          <w:bottom w:val="single" w:sz="5" w:space="0" w:color="D0D8E2"/>
          <w:right w:val="single" w:sz="5" w:space="0" w:color="D0D8E2"/>
          <w:insideH w:val="single" w:sz="5" w:space="0" w:color="D0D8E2"/>
          <w:insideV w:val="single" w:sz="5" w:space="0" w:color="D0D8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after="0" w:line="276" w:lineRule="auto"/>
            </w:pPr>
            <w:r>
              <w:rPr>
                <w:rFonts w:ascii="Calibri" w:hAnsi="Calibri" w:eastAsia="Noto Sans CJK SC"/>
                <w:b/>
                <w:color w:val="1F4D78"/>
                <w:sz w:val="21"/>
              </w:rPr>
              <w:t>风扇说明：</w:t>
            </w:r>
            <w:r>
              <w:rPr>
                <w:rFonts w:ascii="Calibri" w:hAnsi="Calibri" w:eastAsia="Noto Sans CJK SC"/>
                <w:color w:val="000000"/>
                <w:sz w:val="21"/>
              </w:rPr>
              <w:t>官方 Raspberry Pi 5 风扇低于 50°C 默认停转，因此空闲时不转并不等于故障；继续以 SoC 温度和 throttled 标志判断。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历史未确认项（现已由当前部署替代）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SC"/>
          <w:color w:val="000000"/>
          <w:sz w:val="22"/>
        </w:rPr>
        <w:t>系统更新与基础依赖：build-essential、python3-venv/dev/pip、sqlite3、jq、htop、tmux、minicom、i2c-tools、usbutils、lsof、ripgrep。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SC"/>
          <w:color w:val="000000"/>
          <w:sz w:val="22"/>
        </w:rPr>
        <w:t>安装 Node.js 24 LTS；不要把 Node 20 的存在等同于长期技术基线。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SC"/>
          <w:color w:val="000000"/>
          <w:sz w:val="22"/>
        </w:rPr>
        <w:t>创建 ~/electrochem-platform monorepo、.venv、backend/frontend/firmware/configs/data/tests/scripts/docs。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SC"/>
          <w:color w:val="000000"/>
          <w:sz w:val="22"/>
        </w:rPr>
        <w:t>启动 FastAPI /health，电脑浏览器访问成功；建立 WebSocket 回声或 Mock 数据验证。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SC"/>
          <w:color w:val="000000"/>
          <w:sz w:val="22"/>
        </w:rPr>
        <w:t>初始化 Git、添加 README/.gitignore、完成首次提交，并记录环境版本。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Noto Sans CJK SC"/>
          <w:color w:val="000000"/>
          <w:sz w:val="22"/>
        </w:rPr>
        <w:t>配置 VS Code Remote SSH；确认密钥登录后再考虑关闭密码登录，避免把自己锁在外面。</w:t>
      </w:r>
    </w:p>
    <w:p>
      <w:pPr>
        <w:pStyle w:val="Heading2"/>
        <w:keepNext/>
      </w:pPr>
      <w:r>
        <w:t>10.2 历史 Phase 0 完成门槛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验收项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通过条件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SSH/远程开发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VS Code Remote SSH 可编辑、运行和调试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Python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.venv 可创建；FastAPI/Uvicorn 在虚拟环境启动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Node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Node.js 24.x 与 npm 正常；前端脚手架可运行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网络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局域网浏览器可访问 /health 和 WebSocket 测试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仓库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目录、README、.gitignore、首次提交和依赖锁定完成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复现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从清单命令可在干净环境重建；版本输出归档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仓库与工程约定</w:t>
      </w:r>
    </w:p>
    <w:p>
      <w:pPr>
        <w:pStyle w:val="Heading2"/>
        <w:keepNext/>
      </w:pPr>
      <w:r>
        <w:t>11.1 目标目录</w:t>
      </w:r>
    </w:p>
    <w:p>
      <w:pPr>
        <w:pStyle w:val="CodeBlock"/>
      </w:pPr>
      <w:r>
        <w:rPr>
          <w:rFonts w:ascii="Consolas" w:hAnsi="Consolas" w:eastAsia="Noto Sans CJK SC"/>
          <w:color w:val="0B2545"/>
          <w:sz w:val="16"/>
        </w:rPr>
        <w:t>electrochem-platform/</w:t>
        <w:br/>
        <w:t>|-- backend/          # FastAPI、Instrument Core、API</w:t>
        <w:br/>
        <w:t>|-- frontend/         # Vue/TS/ECharts Web UI</w:t>
        <w:br/>
        <w:t>|-- firmware/         # ESP32-S3 固件</w:t>
        <w:br/>
        <w:t>|-- configs/          # 实验模板、设备和校准配置</w:t>
        <w:br/>
        <w:t>|-- data/</w:t>
        <w:br/>
        <w:t>|   |-- raw/          # 不可变原始数据</w:t>
        <w:br/>
        <w:t>|   |-- calibrated/   # 校准/温补数据</w:t>
        <w:br/>
        <w:t>|   `-- derived/      # 统计、拟合、报告</w:t>
        <w:br/>
        <w:t>|-- tests/            # 单元、回放、集成与验收测试</w:t>
        <w:br/>
        <w:t>|-- scripts/          # 安装、迁移、导出、诊断</w:t>
        <w:br/>
        <w:t>|-- docs/             # 架构、接口、SOP、验收报告</w:t>
        <w:br/>
        <w:t>|-- README.md</w:t>
        <w:br/>
        <w:t>`-- .gitignore</w:t>
      </w:r>
    </w:p>
    <w:p>
      <w:pPr>
        <w:pStyle w:val="Heading2"/>
        <w:keepNext/>
      </w:pPr>
      <w:r>
        <w:t>11.2 必须遵守的工程规则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设备驱动实现统一 Driver Base Class；Mock、电压、电流、激励与 DS18B20 以同一边界接入。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配置、协议、实验模板和数据 schema 必须版本化；数据库迁移不能依赖手工改表。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配置地址集中管理，禁止把后端地址和串口号散落硬编码在多个文件中。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机密信息、私钥、Wi-Fi 密码和访问令牌不得提交 Git；提交前检查 .gitignore。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所有原始帧带 seq、UTC、monotonic_ms；前端 timestamp 仅作显示，不作为审计唯一时间。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每个里程碑交付 README、启动命令、测试命令、已知问题和验收证据。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以垂直切片推进：Mock→I/V 电气台架→导电池标准液校准→温补→实时曲线与落盘；每一片都可独立演示。</w:t>
      </w:r>
    </w:p>
    <w:p>
      <w:pPr>
        <w:pStyle w:val="Heading2"/>
        <w:keepNext/>
      </w:pPr>
      <w:r>
        <w:t>11.3 建议的首次提交顺序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SC"/>
          <w:color w:val="000000"/>
          <w:sz w:val="22"/>
        </w:rPr>
        <w:t>chore: initialize monorepo and development environment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SC"/>
          <w:color w:val="000000"/>
          <w:sz w:val="22"/>
        </w:rPr>
        <w:t>feat(backend): add health endpoint and settings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SC"/>
          <w:color w:val="000000"/>
          <w:sz w:val="22"/>
        </w:rPr>
        <w:t>feat(core): add mock device and acquisition loop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SC"/>
          <w:color w:val="000000"/>
          <w:sz w:val="22"/>
        </w:rPr>
        <w:t>feat(api): add experiment control REST and realtime WebSocket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SC"/>
          <w:color w:val="000000"/>
          <w:sz w:val="22"/>
        </w:rPr>
        <w:t>feat(frontend): add mock/real source switch and live EC chart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Calibri" w:hAnsi="Calibri" w:eastAsia="Noto Sans CJK SC"/>
          <w:color w:val="000000"/>
          <w:sz w:val="22"/>
        </w:rPr>
        <w:t>test: add 30-minute mock stream and malformed-frame tests</w:t>
      </w:r>
    </w:p>
    <w:p>
      <w:pPr>
        <w:pStyle w:val="Heading1"/>
        <w:keepNext/>
      </w:pPr>
      <w:r>
        <w:t>12. 分工、风险与待决事项</w:t>
      </w:r>
    </w:p>
    <w:p>
      <w:pPr>
        <w:pStyle w:val="Heading2"/>
        <w:keepNext/>
      </w:pPr>
      <w:r>
        <w:t>12.1 角色式分工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800"/>
        <w:gridCol w:w="5250"/>
        <w:gridCol w:w="231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5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验收焦点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项目负责人</w:t>
            </w:r>
          </w:p>
        </w:tc>
        <w:tc>
          <w:tcPr>
            <w:tcW w:type="dxa" w:w="5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冻结范围、协调采购、审批变更、组织验收、对接导师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最终范围与放行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平台/后端</w:t>
            </w:r>
          </w:p>
        </w:tc>
        <w:tc>
          <w:tcPr>
            <w:tcW w:type="dxa" w:w="5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数据模型、Driver 抽象、采集引擎、REST/WS、存储、部署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Mock 全链路与服务稳定性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Web 成员</w:t>
            </w:r>
          </w:p>
        </w:tc>
        <w:tc>
          <w:tcPr>
            <w:tcW w:type="dxa" w:w="5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实时页面、图表、控制、连接/异常状态、Mock/真实切换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按《Web界面开发任务书》验收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硬件/固件</w:t>
            </w:r>
          </w:p>
        </w:tc>
        <w:tc>
          <w:tcPr>
            <w:tcW w:type="dxa" w:w="5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激励、U/I AFE、ADC、温度、ESP32 时序/协议、缓存与电气台架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精密负载与标准液 I–V 全链路证据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实验/数据</w:t>
            </w:r>
          </w:p>
        </w:tc>
        <w:tc>
          <w:tcPr>
            <w:tcW w:type="dxa" w:w="5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标准液、SOP、配液、重复、QC、拟合和误差报告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实验可复现与结论边界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高优先级风险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800"/>
        <w:gridCol w:w="900"/>
        <w:gridCol w:w="5660"/>
      </w:tblGrid>
      <w:tr>
        <w:trPr>
          <w:tblHeader w:val="true"/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风险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等级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激励频率/幅值不当导致极化或电解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交流/双极性激励；扫频/扫幅；限制电流并检查气泡与漂移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电流通道量程或 TIA/采样电阻不匹配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精密负载覆盖量程；自动/手动量程；饱和和欠量程标志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U/I 不同步或相位/波形算法错误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同步采样或明确同相算法；保存原始波形/诊断量；阻抗台架验证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电极拓扑、浸深、气泡改变 Kcell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固定夹具和容器；二/四电极对比；重新浸入重复与前后标准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温补模型不适配溶液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保存 κ(T) 与 T；控温优先；按溶液选择模型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低导污染与 CO₂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独立杯、低到高、DI 冲洗、快速加盖；低于 LOQ 不报绝对值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并行开坑导致无闭环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先完成 U/I/T→κ25 垂直切片；三电极和 pH 分开立项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液体靠近裸板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高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低压、液电分区、固定夹具、接水盘、外壳</w:t>
            </w:r>
          </w:p>
        </w:tc>
      </w:tr>
      <w:tr>
        <w:trPr>
          <w:cantSplit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Wi-Fi/USB 丢包与时钟跳变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中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seq+monotonic+本地缓存；首版优先 USB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 尚待负责人确认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900"/>
        <w:gridCol w:w="4600"/>
        <w:gridCol w:w="1500"/>
        <w:gridCol w:w="2360"/>
      </w:tblGrid>
      <w:tr>
        <w:trPr>
          <w:tblHeader w:val="true"/>
          <w:cantSplit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ID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待决事项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截止点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影响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P-01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前端最终选 Vue 3 还是 React + TypeScript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3 开始前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避免成员重复搭脚手架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P-02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实物库存、数量、订单/发票、标准液批号与有效期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0 内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建立资产台账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P-03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导电池采用二电极还是四电极；电极材料与几何尺寸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5A 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决定极化、Kcell、量程与重复性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P-04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激励频率/幅值、电流检测方式、ADC/AFE 与量程切换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5A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决定噪声、带宽、保护与误差预算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P-05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三电极第二阶段选择 AD5940/OEM/离散路线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M4 后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避免互斥采购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P-06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Git 托管地址、成员权限和分支保护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Phase 0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保障协作与备份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文档资产索引与交接验收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700"/>
        <w:gridCol w:w="3900"/>
        <w:gridCol w:w="376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资产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文件名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6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需求基线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溶液导电性相对比较_需求规格说明书_v0.2.docx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I–V 测量、校准、数据、拟合、风险与模板基线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全流程路线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电导率I-V测量链路与开发路线.md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取代旧图中 BA121S/CM2 模块路线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Web 任务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Web界面开发任务书与验收标准.docx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功能、性能、UI、工程质量与评分标准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元器件调研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electrochem_component_research_2026-08-18.xlsx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原厂/模块/替代路线与采购决策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历史候选资料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电导率检测专用..V1.pdf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BA121S 规格；仅作对照，不作为正式路线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历史候选资料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规格书-CM2（新）.pdf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CM2 规格；仅作对照，不作为正式路线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历史候选资料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数字信号TDS..H2.pdf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H2 接线；仅作对照，不作为正式路线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本交接件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树莓派电化学项目_交接文档_v1.1.docx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6"/>
              </w:rPr>
              <w:t>当前跨会话状态、边界、资产与续接入口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13.1 交接验收清单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接手者能解释项目首版范围、I–V 测量链、Raw/Calibrated/Derived 边界和三条禁止事项。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接手者能够 SSH 登录 Pi，知道当前 OS/Python/Git/Node、systemd 服务、部署路径与 Git 分支状态。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接手者能找到 v0.2 需求基线、修订路线、Web 任务书、元器件调研及历史厂家资料。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项目负责人完成硬件/液体实物清点并建立 asset_id 与批号台账。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仓库可在干净环境启动；/health、Mock WebSocket 和前端页面可复现。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Noto Sans CJK SC"/>
          <w:color w:val="000000"/>
          <w:sz w:val="22"/>
        </w:rPr>
        <w:t>任何量程、校准、协议或实验模板变更均有版本和回归测试记录。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1400"/>
        <w:gridCol w:w="2600"/>
        <w:gridCol w:w="1400"/>
        <w:gridCol w:w="3960"/>
      </w:tblGrid>
      <w:tr>
        <w:trPr>
          <w:tblHeader w:val="true"/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签字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交接人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________________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日期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接收人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________________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日期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项目负责人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________________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结论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8"/>
              </w:rPr>
              <w:t>□通过  □有条件通过  □退回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A  接手首日检查表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800"/>
        <w:gridCol w:w="4300"/>
        <w:gridCol w:w="900"/>
        <w:gridCol w:w="3360"/>
      </w:tblGrid>
      <w:tr>
        <w:trPr>
          <w:tblHeader w:val="true"/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序号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完成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证据/注意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确认 SSH 与密钥登录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□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不要在确认密钥前关闭密码登录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记录 OS、内核、Python、Git、Node、磁盘、温度和 throttled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□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保存到 docs/environment.md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确认仓库路径、远程地址、分支和未提交改动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□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不要覆盖他人修改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4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运行后端 /health 与 Mock WebSocket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□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保存启动与测试命令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运行前端 Mock 模式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□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检查开始/停止/断线/重连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6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清点导电池/电极、ADS1256、DAC、运放、采样电阻/TIA、标准液与接线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□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旧 BA121S/CM2 仅作历史/对照资产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7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阅读 SRS v0.2 的 I–V 校准、台架门槛和禁止事项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□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签收冻结基线</w:t>
            </w:r>
          </w:p>
        </w:tc>
      </w:tr>
      <w:tr>
        <w:trPr>
          <w:cantSplit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8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创建首个 issue/任务板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□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只安排温度与 I–V 垂直闭环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  术语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4D4"/>
          <w:left w:val="single" w:sz="6" w:space="0" w:color="B7C4D4"/>
          <w:bottom w:val="single" w:sz="6" w:space="0" w:color="B7C4D4"/>
          <w:right w:val="single" w:sz="6" w:space="0" w:color="B7C4D4"/>
          <w:insideH w:val="single" w:sz="6" w:space="0" w:color="B7C4D4"/>
          <w:insideV w:val="single" w:sz="6" w:space="0" w:color="B7C4D4"/>
        </w:tblBorders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术语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Noto Sans CJK SC"/>
                <w:b/>
                <w:color w:val="0B2545"/>
                <w:sz w:val="17"/>
              </w:rPr>
              <w:t>定义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EC / κ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电导率/比电导；本文统一以 μS/cm 表示。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κ(T)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实测温度 T 下的未补偿电导率。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κ25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按记录的模型换算到 25°C 的电导率。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G(T)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测量温度下的电导；由经验证的 U/I 算法得到，单位 S。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Kcell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导电池常数；由标准液标定并绑定电极、几何与校准记录。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sensor_path_id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测量链路标识；正式目标使用 EC_IV_CELL_&lt;编号&gt;。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calibration_id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一次电气通道/导电池/温补校准记录的唯一标识。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Raw / Calibrated / Derived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原始、校准、衍生三层数据。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M0–M5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Noto Sans CJK SC"/>
                <w:color w:val="000000"/>
                <w:sz w:val="17"/>
              </w:rPr>
              <w:t>测量定义、Mock、真实 I–V、校准平台、拟合、三电极扩展里程碑。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C  依据与来源</w:t>
      </w:r>
    </w:p>
    <w:p>
      <w:pPr>
        <w:spacing w:after="60"/>
      </w:pPr>
      <w:r>
        <w:rPr>
          <w:rFonts w:ascii="Calibri" w:hAnsi="Calibri" w:eastAsia="Noto Sans CJK SC"/>
          <w:color w:val="000000"/>
          <w:sz w:val="18"/>
        </w:rPr>
        <w:t>[1] 项目组：《溶液导电性相对比较_需求规格说明书_v0.2》，2026-08-22。</w:t>
      </w:r>
    </w:p>
    <w:p>
      <w:pPr>
        <w:spacing w:after="60"/>
      </w:pPr>
      <w:r>
        <w:rPr>
          <w:rFonts w:ascii="Calibri" w:hAnsi="Calibri" w:eastAsia="Noto Sans CJK SC"/>
          <w:color w:val="000000"/>
          <w:sz w:val="18"/>
        </w:rPr>
        <w:t>[2] 项目组：《电导率 I–V 测量链路与开发路线》，2026-08-22。</w:t>
      </w:r>
    </w:p>
    <w:p>
      <w:pPr>
        <w:spacing w:after="60"/>
      </w:pPr>
      <w:r>
        <w:rPr>
          <w:rFonts w:ascii="Calibri" w:hAnsi="Calibri" w:eastAsia="Noto Sans CJK SC"/>
          <w:color w:val="000000"/>
          <w:sz w:val="18"/>
        </w:rPr>
        <w:t>[3] 项目组：《Web界面开发任务书与验收标准》，2026-08-19。</w:t>
      </w:r>
    </w:p>
    <w:p>
      <w:pPr>
        <w:spacing w:after="60"/>
      </w:pPr>
      <w:r>
        <w:rPr>
          <w:rFonts w:ascii="Calibri" w:hAnsi="Calibri" w:eastAsia="Noto Sans CJK SC"/>
          <w:color w:val="000000"/>
          <w:sz w:val="18"/>
        </w:rPr>
        <w:t>[4] 项目组：《electrochem_component_research_2026-08-18》，2026-08-18。</w:t>
      </w:r>
    </w:p>
    <w:p>
      <w:pPr>
        <w:spacing w:after="60"/>
      </w:pPr>
      <w:r>
        <w:rPr>
          <w:rFonts w:ascii="Calibri" w:hAnsi="Calibri" w:eastAsia="Noto Sans CJK SC"/>
          <w:color w:val="000000"/>
          <w:sz w:val="18"/>
        </w:rPr>
        <w:t>[5] 历史候选资料：BA121S 水溶液电导率和水温检测专用芯片规格书，V1.2（不再作为正式路线）。</w:t>
      </w:r>
    </w:p>
    <w:p>
      <w:pPr>
        <w:spacing w:after="60"/>
      </w:pPr>
      <w:r>
        <w:rPr>
          <w:rFonts w:ascii="Calibri" w:hAnsi="Calibri" w:eastAsia="Noto Sans CJK SC"/>
          <w:color w:val="000000"/>
          <w:sz w:val="18"/>
        </w:rPr>
        <w:t>[6] 历史候选资料：CM2 大量程多参数电导率检测模组规格书（不再作为正式路线）。</w:t>
      </w:r>
    </w:p>
    <w:p>
      <w:pPr>
        <w:spacing w:after="60"/>
      </w:pPr>
      <w:r>
        <w:rPr>
          <w:rFonts w:ascii="Calibri" w:hAnsi="Calibri" w:eastAsia="Noto Sans CJK SC"/>
          <w:color w:val="000000"/>
          <w:sz w:val="18"/>
        </w:rPr>
        <w:t>[7] 历史候选资料：BA121S-M 数字信号 TDS 传感器 H2 接线图（不再作为正式路线）。</w:t>
      </w:r>
    </w:p>
    <w:p>
      <w:pPr>
        <w:spacing w:after="60"/>
      </w:pPr>
      <w:hyperlink r:id="rId13">
        <w:r>
          <w:rPr>
            <w:rFonts w:ascii="Calibri" w:hAnsi="Calibri" w:eastAsia="Noto Sans CJK SC"/>
            <w:color w:val="2E74B5"/>
            <w:u w:val="single"/>
            <w:sz w:val="18"/>
          </w:rPr>
          <w:t>[8] Raspberry Pi Documentation — Raspberry Pi 5 thermal control and fan thresholds</w:t>
        </w:r>
      </w:hyperlink>
    </w:p>
    <w:p>
      <w:pPr>
        <w:spacing w:after="60"/>
      </w:pPr>
      <w:hyperlink r:id="rId14">
        <w:r>
          <w:rPr>
            <w:rFonts w:ascii="Calibri" w:hAnsi="Calibri" w:eastAsia="Noto Sans CJK SC"/>
            <w:color w:val="2E74B5"/>
            <w:u w:val="single"/>
            <w:sz w:val="18"/>
          </w:rPr>
          <w:t>[9] Node.js — Releases and LTS status</w:t>
        </w:r>
      </w:hyperlink>
    </w:p>
    <w:p>
      <w:pPr>
        <w:spacing w:after="60"/>
      </w:pPr>
      <w:hyperlink r:id="rId15">
        <w:r>
          <w:rPr>
            <w:rFonts w:ascii="Calibri" w:hAnsi="Calibri" w:eastAsia="Noto Sans CJK SC"/>
            <w:color w:val="2E74B5"/>
            <w:u w:val="single"/>
            <w:sz w:val="18"/>
          </w:rPr>
          <w:t>[10] Debian — nodejs package in trixie</w:t>
        </w:r>
      </w:hyperlink>
    </w:p>
    <w:p>
      <w:pPr>
        <w:spacing w:after="60"/>
      </w:pPr>
      <w:hyperlink r:id="rId16">
        <w:r>
          <w:rPr>
            <w:rFonts w:ascii="Calibri" w:hAnsi="Calibri" w:eastAsia="Noto Sans CJK SC"/>
            <w:color w:val="2E74B5"/>
            <w:u w:val="single"/>
            <w:sz w:val="18"/>
          </w:rPr>
          <w:t>[11] nvm v0.40.5 security fix release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0D8E2"/>
          <w:left w:val="single" w:sz="5" w:space="0" w:color="D0D8E2"/>
          <w:bottom w:val="single" w:sz="5" w:space="0" w:color="D0D8E2"/>
          <w:right w:val="single" w:sz="5" w:space="0" w:color="D0D8E2"/>
          <w:insideH w:val="single" w:sz="5" w:space="0" w:color="D0D8E2"/>
          <w:insideV w:val="single" w:sz="5" w:space="0" w:color="D0D8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line="276" w:lineRule="auto"/>
            </w:pPr>
            <w:r>
              <w:rPr>
                <w:rFonts w:ascii="Calibri" w:hAnsi="Calibri" w:eastAsia="Noto Sans CJK SC"/>
                <w:b/>
                <w:color w:val="0B2545"/>
                <w:sz w:val="21"/>
              </w:rPr>
              <w:t>文档边界：本文整合截至 2026-08-22 的项目状态、路线修订、文档与实机记录。实际库存、代码和台架结果仍会变化，必须通过版本化台账、提交和里程碑报告更新。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first" r:id="rId17"/>
      <w:headerReference w:type="even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Noto Sans CJK SC"/>
        <w:color w:val="666666"/>
        <w:sz w:val="18"/>
      </w:rPr>
      <w:t xml:space="preserve">第 </w:t>
    </w:r>
    <w:r>
      <w:rPr>
        <w:rFonts w:ascii="Calibri" w:hAnsi="Calibri" w:eastAsia="Noto Sans CJK SC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Noto Sans CJK SC"/>
        <w:color w:val="666666"/>
        <w:sz w:val="18"/>
      </w:rPr>
      <w:t>项目交接文档  |  RPI-EC  |  v1.1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Symbol" w:hAnsi="Symbol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59" w:right="259"/>
    </w:pPr>
    <w:rPr>
      <w:rFonts w:ascii="Consolas" w:hAnsi="Consolas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raspberrypi.com/documentation/computers/raspberry-pi.html" TargetMode="External"/><Relationship Id="rId14" Type="http://schemas.openxmlformats.org/officeDocument/2006/relationships/hyperlink" Target="https://nodejs.org/en/about/previous-releases" TargetMode="External"/><Relationship Id="rId15" Type="http://schemas.openxmlformats.org/officeDocument/2006/relationships/hyperlink" Target="https://packages.debian.org/trixie/nodejs" TargetMode="External"/><Relationship Id="rId16" Type="http://schemas.openxmlformats.org/officeDocument/2006/relationships/hyperlink" Target="https://github.com/nvm-sh/nvm/releases/tag/v0.40.5" TargetMode="External"/><Relationship Id="rId17" Type="http://schemas.openxmlformats.org/officeDocument/2006/relationships/header" Target="header2.xml"/><Relationship Id="rId1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树莓派电化学项目交接文档 v1.1</dc:title>
  <dc:subject>电极电压/电流测量、Kcell 校准与温度补偿路线修订</dc:subject>
  <dc:creator>项目组</dc:creator>
  <cp:keywords>树莓派, 电化学, 电导率, BA121S, CM2, ESP32-S3, FastAPI, 交接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