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Security Policy (DOCX)</w:t>
      </w:r>
    </w:p>
    <w:p>
      <w:r>
        <w:t>All production systems require multi-factor authentication (MFA).</w:t>
      </w:r>
    </w:p>
    <w:p>
      <w:r>
        <w:t>Data at rest is encrypted with AES-256. Data in transit uses TLS 1.2+.</w:t>
      </w:r>
    </w:p>
    <w:p>
      <w:r>
        <w:t>We maintain SOC 2 Type II. Critical vulnerabilities are remediated within 7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