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F1FB" w14:textId="77777777" w:rsidR="007808A0" w:rsidRPr="007808A0" w:rsidRDefault="007808A0" w:rsidP="007808A0">
      <w:pPr>
        <w:pStyle w:val="Ttulo1"/>
        <w:rPr>
          <w:rFonts w:asciiTheme="majorHAnsi" w:hAnsiTheme="majorHAnsi"/>
          <w:lang w:val="es-UY"/>
        </w:rPr>
      </w:pPr>
      <w:r w:rsidRPr="007808A0">
        <w:rPr>
          <w:rFonts w:asciiTheme="majorHAnsi" w:hAnsiTheme="majorHAnsi"/>
          <w:lang w:val="es-UY"/>
        </w:rPr>
        <w:t>REVISIÓN DEL DESEMPEÑO DE VENTAS</w:t>
      </w:r>
    </w:p>
    <w:p w14:paraId="7CD76AF6" w14:textId="441A1D34" w:rsidR="007808A0" w:rsidRDefault="007808A0" w:rsidP="007808A0">
      <w:pPr>
        <w:pBdr>
          <w:top w:val="single" w:sz="3" w:space="6" w:color="CCCCCC"/>
        </w:pBdr>
        <w:spacing w:before="120"/>
        <w:rPr>
          <w:rFonts w:asciiTheme="majorHAnsi" w:hAnsiTheme="majorHAnsi"/>
          <w:lang w:val="es-UY"/>
        </w:rPr>
      </w:pPr>
      <w:proofErr w:type="spellStart"/>
      <w:r w:rsidRPr="007808A0">
        <w:rPr>
          <w:rFonts w:asciiTheme="majorHAnsi" w:hAnsiTheme="majorHAnsi"/>
          <w:b/>
          <w:bCs/>
          <w:lang w:val="es-UY"/>
        </w:rPr>
        <w:t>Superstore</w:t>
      </w:r>
      <w:proofErr w:type="spellEnd"/>
      <w:r w:rsidRPr="007808A0">
        <w:rPr>
          <w:rFonts w:asciiTheme="majorHAnsi" w:hAnsiTheme="majorHAnsi"/>
          <w:b/>
          <w:bCs/>
          <w:lang w:val="es-UY"/>
        </w:rPr>
        <w:t xml:space="preserve"> | Años fiscales 2014–2017</w:t>
      </w:r>
      <w:r w:rsidRPr="007808A0">
        <w:rPr>
          <w:rFonts w:asciiTheme="majorHAnsi" w:hAnsiTheme="majorHAnsi"/>
          <w:lang w:val="es-UY"/>
        </w:rPr>
        <w:br/>
      </w:r>
      <w:r w:rsidRPr="007808A0">
        <w:rPr>
          <w:rFonts w:asciiTheme="majorHAnsi" w:hAnsiTheme="majorHAnsi"/>
          <w:b/>
          <w:bCs/>
          <w:lang w:val="es-UY"/>
        </w:rPr>
        <w:t>Preparado:</w:t>
      </w:r>
      <w:r w:rsidRPr="007808A0">
        <w:rPr>
          <w:rFonts w:asciiTheme="majorHAnsi" w:hAnsiTheme="majorHAnsi"/>
          <w:lang w:val="es-UY"/>
        </w:rPr>
        <w:t xml:space="preserve"> </w:t>
      </w:r>
      <w:proofErr w:type="gramStart"/>
      <w:r w:rsidRPr="007808A0">
        <w:rPr>
          <w:rFonts w:asciiTheme="majorHAnsi" w:hAnsiTheme="majorHAnsi"/>
          <w:lang w:val="es-UY"/>
        </w:rPr>
        <w:t>Junio</w:t>
      </w:r>
      <w:proofErr w:type="gramEnd"/>
      <w:r w:rsidRPr="007808A0">
        <w:rPr>
          <w:rFonts w:asciiTheme="majorHAnsi" w:hAnsiTheme="majorHAnsi"/>
          <w:lang w:val="es-UY"/>
        </w:rPr>
        <w:t xml:space="preserve"> 2026 </w:t>
      </w:r>
    </w:p>
    <w:p w14:paraId="647735C7" w14:textId="77777777" w:rsidR="007808A0" w:rsidRPr="007808A0" w:rsidRDefault="007808A0" w:rsidP="007808A0">
      <w:pPr>
        <w:pBdr>
          <w:top w:val="single" w:sz="3" w:space="6" w:color="CCCCCC"/>
        </w:pBdr>
        <w:spacing w:before="120"/>
        <w:rPr>
          <w:rFonts w:asciiTheme="majorHAnsi" w:hAnsiTheme="majorHAnsi"/>
          <w:lang w:val="es-UY"/>
        </w:rPr>
      </w:pPr>
    </w:p>
    <w:p w14:paraId="6F2F5FF1" w14:textId="77777777" w:rsidR="007808A0" w:rsidRPr="007808A0" w:rsidRDefault="007808A0" w:rsidP="007808A0">
      <w:pPr>
        <w:pStyle w:val="Ttulo2"/>
        <w:rPr>
          <w:rFonts w:asciiTheme="majorHAnsi" w:hAnsiTheme="majorHAnsi"/>
          <w:lang w:val="es-UY"/>
        </w:rPr>
      </w:pPr>
      <w:r w:rsidRPr="007808A0">
        <w:rPr>
          <w:rFonts w:asciiTheme="majorHAnsi" w:hAnsiTheme="majorHAnsi"/>
          <w:lang w:val="es-UY"/>
        </w:rPr>
        <w:t>RESUMEN EJECUTIVO</w:t>
      </w:r>
    </w:p>
    <w:p w14:paraId="07809511"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Este informe analiza las ventas de la empresa desde enero de 2014 hasta diciembre de 2017. Durante este período de cuatro años, la compañía generó USD 2.3 millones en ingresos a través de 5,009 órdenes, atendiendo a 793 clientes y comercializando 1,862 productos. El Profit total alcanzó aproximadamente USD 286,000, lo que representa un margen neto de 12.5%.</w:t>
      </w:r>
    </w:p>
    <w:p w14:paraId="6AE37208"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Los ingresos casi se duplicaron durante el período, pasando de USD 484,000 en 2014 a USD 733,000 en 2017. Sin embargo, este crecimiento oculta tres problemas estructurales que están reduciendo significativamente la rentabilidad: una política de </w:t>
      </w:r>
      <w:proofErr w:type="spellStart"/>
      <w:r w:rsidRPr="007808A0">
        <w:rPr>
          <w:rFonts w:asciiTheme="majorHAnsi" w:hAnsiTheme="majorHAnsi"/>
          <w:sz w:val="24"/>
          <w:szCs w:val="24"/>
          <w:lang w:val="es-UY"/>
        </w:rPr>
        <w:t>Discount</w:t>
      </w:r>
      <w:proofErr w:type="spellEnd"/>
      <w:r w:rsidRPr="007808A0">
        <w:rPr>
          <w:rFonts w:asciiTheme="majorHAnsi" w:hAnsiTheme="majorHAnsi"/>
          <w:sz w:val="24"/>
          <w:szCs w:val="24"/>
          <w:lang w:val="es-UY"/>
        </w:rPr>
        <w:t xml:space="preserve"> poco controlada, una categoría </w:t>
      </w:r>
      <w:proofErr w:type="spellStart"/>
      <w:r w:rsidRPr="007808A0">
        <w:rPr>
          <w:rFonts w:asciiTheme="majorHAnsi" w:hAnsiTheme="majorHAnsi"/>
          <w:sz w:val="24"/>
          <w:szCs w:val="24"/>
          <w:lang w:val="es-UY"/>
        </w:rPr>
        <w:t>Furniture</w:t>
      </w:r>
      <w:proofErr w:type="spellEnd"/>
      <w:r w:rsidRPr="007808A0">
        <w:rPr>
          <w:rFonts w:asciiTheme="majorHAnsi" w:hAnsiTheme="majorHAnsi"/>
          <w:sz w:val="24"/>
          <w:szCs w:val="24"/>
          <w:lang w:val="es-UY"/>
        </w:rPr>
        <w:t xml:space="preserve"> que genera pérdidas y cinco estados donde las operaciones presentan pérdidas de forma consistente. Cada uno de estos problemas puede corregirse mediante acciones específicas.</w:t>
      </w:r>
    </w:p>
    <w:p w14:paraId="329A9A56" w14:textId="1E870B99" w:rsidR="007808A0" w:rsidRPr="007808A0" w:rsidRDefault="007808A0" w:rsidP="007808A0">
      <w:pPr>
        <w:pBdr>
          <w:top w:val="single" w:sz="3" w:space="6" w:color="CCCCCC"/>
        </w:pBdr>
        <w:spacing w:before="120"/>
        <w:rPr>
          <w:rFonts w:asciiTheme="majorHAnsi" w:hAnsiTheme="majorHAnsi"/>
        </w:rPr>
      </w:pPr>
    </w:p>
    <w:p w14:paraId="701FB1C7" w14:textId="77777777" w:rsidR="007808A0" w:rsidRPr="007808A0" w:rsidRDefault="007808A0" w:rsidP="007808A0">
      <w:pPr>
        <w:pStyle w:val="Ttulo2"/>
        <w:rPr>
          <w:rFonts w:asciiTheme="majorHAnsi" w:hAnsiTheme="majorHAnsi"/>
          <w:lang w:val="es-UY"/>
        </w:rPr>
      </w:pPr>
      <w:r w:rsidRPr="007808A0">
        <w:rPr>
          <w:rFonts w:asciiTheme="majorHAnsi" w:hAnsiTheme="majorHAnsi"/>
          <w:lang w:val="es-UY"/>
        </w:rPr>
        <w:t>HALLAZGOS PRINCIPALES</w:t>
      </w:r>
    </w:p>
    <w:p w14:paraId="0AF405A6"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La categoría </w:t>
      </w:r>
      <w:proofErr w:type="spellStart"/>
      <w:r w:rsidRPr="007808A0">
        <w:rPr>
          <w:rFonts w:asciiTheme="majorHAnsi" w:hAnsiTheme="majorHAnsi"/>
          <w:sz w:val="24"/>
          <w:szCs w:val="24"/>
          <w:lang w:val="es-UY"/>
        </w:rPr>
        <w:t>Furniture</w:t>
      </w:r>
      <w:proofErr w:type="spellEnd"/>
      <w:r w:rsidRPr="007808A0">
        <w:rPr>
          <w:rFonts w:asciiTheme="majorHAnsi" w:hAnsiTheme="majorHAnsi"/>
          <w:sz w:val="24"/>
          <w:szCs w:val="24"/>
          <w:lang w:val="es-UY"/>
        </w:rPr>
        <w:t xml:space="preserve"> representa el 32% del Sales total (aproximadamente USD 741,000), pero genera únicamente USD 18,000 de Profit, equivalente a un margen de apenas 2.5%. Dentro de esta categoría, las subcategorías Tables y </w:t>
      </w:r>
      <w:proofErr w:type="spellStart"/>
      <w:r w:rsidRPr="007808A0">
        <w:rPr>
          <w:rFonts w:asciiTheme="majorHAnsi" w:hAnsiTheme="majorHAnsi"/>
          <w:sz w:val="24"/>
          <w:szCs w:val="24"/>
          <w:lang w:val="es-UY"/>
        </w:rPr>
        <w:t>Bookcases</w:t>
      </w:r>
      <w:proofErr w:type="spellEnd"/>
      <w:r w:rsidRPr="007808A0">
        <w:rPr>
          <w:rFonts w:asciiTheme="majorHAnsi" w:hAnsiTheme="majorHAnsi"/>
          <w:sz w:val="24"/>
          <w:szCs w:val="24"/>
          <w:lang w:val="es-UY"/>
        </w:rPr>
        <w:t xml:space="preserve"> son las principales responsables del bajo desempeño, registrando pérdidas de USD 17,700 y USD 3,500, respectivamente. En conjunto, ambas eliminan aproximadamente USD 21,200 de ganancias, consumiendo recursos operativos sin aportar valor significativo a la rentabilidad.</w:t>
      </w:r>
    </w:p>
    <w:p w14:paraId="4E896993"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Los </w:t>
      </w:r>
      <w:proofErr w:type="spellStart"/>
      <w:r w:rsidRPr="007808A0">
        <w:rPr>
          <w:rFonts w:asciiTheme="majorHAnsi" w:hAnsiTheme="majorHAnsi"/>
          <w:sz w:val="24"/>
          <w:szCs w:val="24"/>
          <w:lang w:val="es-UY"/>
        </w:rPr>
        <w:t>Discount</w:t>
      </w:r>
      <w:proofErr w:type="spellEnd"/>
      <w:r w:rsidRPr="007808A0">
        <w:rPr>
          <w:rFonts w:asciiTheme="majorHAnsi" w:hAnsiTheme="majorHAnsi"/>
          <w:sz w:val="24"/>
          <w:szCs w:val="24"/>
          <w:lang w:val="es-UY"/>
        </w:rPr>
        <w:t xml:space="preserve"> superiores al 20% constituyen el principal factor que explica las pérdidas. Las transacciones con descuentos entre 21% y 30% presentan una tasa de pérdidas del 91.6%, mientras que aquellas con descuentos superiores al 50% generan pérdidas en la totalidad de los casos. En conjunto, estas operaciones han producido aproximadamente USD 135,000 en pérdidas acumuladas. En contraste, las transacciones sin descuento generaron alrededor de USD 320,000 de Profit positivo durante el mismo período.</w:t>
      </w:r>
    </w:p>
    <w:p w14:paraId="08A4160E"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Cinco estados presentan pérdidas de forma sistemática: Texas (pérdida de USD 25,700 sobre USD 170,000 en Sales), Ohio (USD 17,000 de pérdida), Pennsylvania (USD 15,600), Illinois (USD 12,600) y North Carolina (USD 7,500). En conjunto, estos estados acumulan aproximadamente USD 78,400 en pérdidas sobre un volumen de ventas cercano a USD 500,000, sin evidencia de mecanismos implementados para revertir esta tendencia.</w:t>
      </w:r>
    </w:p>
    <w:p w14:paraId="19EECEE9" w14:textId="77777777" w:rsid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Además, se identificaron dos observaciones relevantes. El Q4 concentra el 38% del Sales anual y el 39% del Profit anual, por lo que un desempeño débil durante el último trimestre tendría un impacto considerable sobre los resultados del año completo. Por otra parte, el segmento Home Office, con solo 148 clientes, alcanza un margen de Profit del 14.0%, el más alto entre todos los segmentos y superior al 11.5% registrado por el segmento </w:t>
      </w:r>
      <w:proofErr w:type="spellStart"/>
      <w:r w:rsidRPr="007808A0">
        <w:rPr>
          <w:rFonts w:asciiTheme="majorHAnsi" w:hAnsiTheme="majorHAnsi"/>
          <w:sz w:val="24"/>
          <w:szCs w:val="24"/>
          <w:lang w:val="es-UY"/>
        </w:rPr>
        <w:t>Consumer</w:t>
      </w:r>
      <w:proofErr w:type="spellEnd"/>
      <w:r w:rsidRPr="007808A0">
        <w:rPr>
          <w:rFonts w:asciiTheme="majorHAnsi" w:hAnsiTheme="majorHAnsi"/>
          <w:sz w:val="24"/>
          <w:szCs w:val="24"/>
          <w:lang w:val="es-UY"/>
        </w:rPr>
        <w:t>.</w:t>
      </w:r>
    </w:p>
    <w:p w14:paraId="501200B3" w14:textId="77777777" w:rsidR="007808A0" w:rsidRDefault="007808A0" w:rsidP="007808A0">
      <w:pPr>
        <w:pBdr>
          <w:top w:val="single" w:sz="3" w:space="6" w:color="CCCCCC"/>
        </w:pBdr>
        <w:spacing w:before="120"/>
        <w:rPr>
          <w:rFonts w:asciiTheme="majorHAnsi" w:hAnsiTheme="majorHAnsi"/>
          <w:sz w:val="24"/>
          <w:szCs w:val="24"/>
          <w:lang w:val="es-UY"/>
        </w:rPr>
      </w:pPr>
    </w:p>
    <w:p w14:paraId="055B45A6" w14:textId="77777777" w:rsidR="007808A0" w:rsidRPr="007808A0" w:rsidRDefault="007808A0" w:rsidP="007808A0">
      <w:pPr>
        <w:pBdr>
          <w:top w:val="single" w:sz="3" w:space="6" w:color="CCCCCC"/>
        </w:pBdr>
        <w:spacing w:before="120"/>
        <w:rPr>
          <w:rFonts w:asciiTheme="majorHAnsi" w:hAnsiTheme="majorHAnsi"/>
          <w:sz w:val="24"/>
          <w:szCs w:val="24"/>
          <w:lang w:val="es-UY"/>
        </w:rPr>
      </w:pPr>
    </w:p>
    <w:p w14:paraId="7984807B" w14:textId="1761D076" w:rsidR="007808A0" w:rsidRPr="007808A0" w:rsidRDefault="007808A0" w:rsidP="007808A0">
      <w:pPr>
        <w:pBdr>
          <w:top w:val="single" w:sz="3" w:space="6" w:color="CCCCCC"/>
        </w:pBdr>
        <w:spacing w:before="120"/>
        <w:rPr>
          <w:rFonts w:asciiTheme="majorHAnsi" w:hAnsiTheme="majorHAnsi"/>
        </w:rPr>
      </w:pPr>
    </w:p>
    <w:p w14:paraId="6B41E598" w14:textId="77777777" w:rsidR="007808A0" w:rsidRPr="007808A0" w:rsidRDefault="007808A0" w:rsidP="007808A0">
      <w:pPr>
        <w:pStyle w:val="Ttulo2"/>
        <w:rPr>
          <w:rFonts w:asciiTheme="majorHAnsi" w:hAnsiTheme="majorHAnsi"/>
          <w:lang w:val="es-UY"/>
        </w:rPr>
      </w:pPr>
      <w:r w:rsidRPr="007808A0">
        <w:rPr>
          <w:rFonts w:asciiTheme="majorHAnsi" w:hAnsiTheme="majorHAnsi"/>
          <w:lang w:val="es-UY"/>
        </w:rPr>
        <w:t>RECOMENDACIONES</w:t>
      </w:r>
    </w:p>
    <w:p w14:paraId="5A11DC3F"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La acción de mayor impacto consiste en establecer un límite máximo del 20% para los </w:t>
      </w:r>
      <w:proofErr w:type="spellStart"/>
      <w:r w:rsidRPr="007808A0">
        <w:rPr>
          <w:rFonts w:asciiTheme="majorHAnsi" w:hAnsiTheme="majorHAnsi"/>
          <w:sz w:val="24"/>
          <w:szCs w:val="24"/>
          <w:lang w:val="es-UY"/>
        </w:rPr>
        <w:t>Discount</w:t>
      </w:r>
      <w:proofErr w:type="spellEnd"/>
      <w:r w:rsidRPr="007808A0">
        <w:rPr>
          <w:rFonts w:asciiTheme="majorHAnsi" w:hAnsiTheme="majorHAnsi"/>
          <w:sz w:val="24"/>
          <w:szCs w:val="24"/>
          <w:lang w:val="es-UY"/>
        </w:rPr>
        <w:t>, permitiendo excepciones únicamente con aprobación documentada de la gerencia. Se estima que la aplicación de esta política permitiría recuperar aproximadamente USD 135,000 de Profit anual y puede implementarse de manera inmediata.</w:t>
      </w:r>
    </w:p>
    <w:p w14:paraId="7A3B499B"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La segunda recomendación es realizar una revisión integral de la categoría </w:t>
      </w:r>
      <w:proofErr w:type="spellStart"/>
      <w:r w:rsidRPr="007808A0">
        <w:rPr>
          <w:rFonts w:asciiTheme="majorHAnsi" w:hAnsiTheme="majorHAnsi"/>
          <w:sz w:val="24"/>
          <w:szCs w:val="24"/>
          <w:lang w:val="es-UY"/>
        </w:rPr>
        <w:t>Furniture</w:t>
      </w:r>
      <w:proofErr w:type="spellEnd"/>
      <w:r w:rsidRPr="007808A0">
        <w:rPr>
          <w:rFonts w:asciiTheme="majorHAnsi" w:hAnsiTheme="majorHAnsi"/>
          <w:sz w:val="24"/>
          <w:szCs w:val="24"/>
          <w:lang w:val="es-UY"/>
        </w:rPr>
        <w:t xml:space="preserve">, enfocándose especialmente en las subcategorías Tables y </w:t>
      </w:r>
      <w:proofErr w:type="spellStart"/>
      <w:r w:rsidRPr="007808A0">
        <w:rPr>
          <w:rFonts w:asciiTheme="majorHAnsi" w:hAnsiTheme="majorHAnsi"/>
          <w:sz w:val="24"/>
          <w:szCs w:val="24"/>
          <w:lang w:val="es-UY"/>
        </w:rPr>
        <w:t>Bookcases</w:t>
      </w:r>
      <w:proofErr w:type="spellEnd"/>
      <w:r w:rsidRPr="007808A0">
        <w:rPr>
          <w:rFonts w:asciiTheme="majorHAnsi" w:hAnsiTheme="majorHAnsi"/>
          <w:sz w:val="24"/>
          <w:szCs w:val="24"/>
          <w:lang w:val="es-UY"/>
        </w:rPr>
        <w:t>. Si ambas alcanzaran el margen promedio de la empresa (12.5%), el incremento estimado en el Profit sería de aproximadamente USD 61,000. En caso de que dicho objetivo no pueda alcanzarse mediante ajustes de precios o renegociaciones con proveedores, debería considerarse la eliminación de los productos (</w:t>
      </w:r>
      <w:proofErr w:type="spellStart"/>
      <w:r w:rsidRPr="007808A0">
        <w:rPr>
          <w:rFonts w:asciiTheme="majorHAnsi" w:hAnsiTheme="majorHAnsi"/>
          <w:sz w:val="24"/>
          <w:szCs w:val="24"/>
          <w:lang w:val="es-UY"/>
        </w:rPr>
        <w:t>SKUs</w:t>
      </w:r>
      <w:proofErr w:type="spellEnd"/>
      <w:r w:rsidRPr="007808A0">
        <w:rPr>
          <w:rFonts w:asciiTheme="majorHAnsi" w:hAnsiTheme="majorHAnsi"/>
          <w:sz w:val="24"/>
          <w:szCs w:val="24"/>
          <w:lang w:val="es-UY"/>
        </w:rPr>
        <w:t>) con peor desempeño.</w:t>
      </w:r>
    </w:p>
    <w:p w14:paraId="4F83AEA7"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 xml:space="preserve">La tercera recomendación consiste en efectuar una revisión específica de los cinco estados con pérdidas recurrentes. En cada uno de ellos debería analizarse si las pérdidas se originan por políticas de </w:t>
      </w:r>
      <w:proofErr w:type="spellStart"/>
      <w:r w:rsidRPr="007808A0">
        <w:rPr>
          <w:rFonts w:asciiTheme="majorHAnsi" w:hAnsiTheme="majorHAnsi"/>
          <w:sz w:val="24"/>
          <w:szCs w:val="24"/>
          <w:lang w:val="es-UY"/>
        </w:rPr>
        <w:t>Discount</w:t>
      </w:r>
      <w:proofErr w:type="spellEnd"/>
      <w:r w:rsidRPr="007808A0">
        <w:rPr>
          <w:rFonts w:asciiTheme="majorHAnsi" w:hAnsiTheme="majorHAnsi"/>
          <w:sz w:val="24"/>
          <w:szCs w:val="24"/>
          <w:lang w:val="es-UY"/>
        </w:rPr>
        <w:t>, costos de transporte (</w:t>
      </w:r>
      <w:proofErr w:type="spellStart"/>
      <w:r w:rsidRPr="007808A0">
        <w:rPr>
          <w:rFonts w:asciiTheme="majorHAnsi" w:hAnsiTheme="majorHAnsi"/>
          <w:sz w:val="24"/>
          <w:szCs w:val="24"/>
          <w:lang w:val="es-UY"/>
        </w:rPr>
        <w:t>freight</w:t>
      </w:r>
      <w:proofErr w:type="spellEnd"/>
      <w:r w:rsidRPr="007808A0">
        <w:rPr>
          <w:rFonts w:asciiTheme="majorHAnsi" w:hAnsiTheme="majorHAnsi"/>
          <w:sz w:val="24"/>
          <w:szCs w:val="24"/>
          <w:lang w:val="es-UY"/>
        </w:rPr>
        <w:t>) o una combinación desfavorable de productos (</w:t>
      </w:r>
      <w:proofErr w:type="spellStart"/>
      <w:r w:rsidRPr="007808A0">
        <w:rPr>
          <w:rFonts w:asciiTheme="majorHAnsi" w:hAnsiTheme="majorHAnsi"/>
          <w:sz w:val="24"/>
          <w:szCs w:val="24"/>
          <w:lang w:val="es-UY"/>
        </w:rPr>
        <w:t>product</w:t>
      </w:r>
      <w:proofErr w:type="spellEnd"/>
      <w:r w:rsidRPr="007808A0">
        <w:rPr>
          <w:rFonts w:asciiTheme="majorHAnsi" w:hAnsiTheme="majorHAnsi"/>
          <w:sz w:val="24"/>
          <w:szCs w:val="24"/>
          <w:lang w:val="es-UY"/>
        </w:rPr>
        <w:t xml:space="preserve"> </w:t>
      </w:r>
      <w:proofErr w:type="spellStart"/>
      <w:r w:rsidRPr="007808A0">
        <w:rPr>
          <w:rFonts w:asciiTheme="majorHAnsi" w:hAnsiTheme="majorHAnsi"/>
          <w:sz w:val="24"/>
          <w:szCs w:val="24"/>
          <w:lang w:val="es-UY"/>
        </w:rPr>
        <w:t>mix</w:t>
      </w:r>
      <w:proofErr w:type="spellEnd"/>
      <w:r w:rsidRPr="007808A0">
        <w:rPr>
          <w:rFonts w:asciiTheme="majorHAnsi" w:hAnsiTheme="majorHAnsi"/>
          <w:sz w:val="24"/>
          <w:szCs w:val="24"/>
          <w:lang w:val="es-UY"/>
        </w:rPr>
        <w:t>), aplicando posteriormente las medidas correctivas correspondientes.</w:t>
      </w:r>
    </w:p>
    <w:p w14:paraId="09D01383" w14:textId="14262B8F" w:rsidR="007808A0" w:rsidRPr="007808A0" w:rsidRDefault="007808A0" w:rsidP="007808A0">
      <w:pPr>
        <w:pBdr>
          <w:top w:val="single" w:sz="3" w:space="6" w:color="CCCCCC"/>
        </w:pBdr>
        <w:spacing w:before="120"/>
        <w:rPr>
          <w:rFonts w:asciiTheme="majorHAnsi" w:hAnsiTheme="majorHAnsi"/>
          <w:sz w:val="24"/>
          <w:szCs w:val="24"/>
        </w:rPr>
      </w:pPr>
    </w:p>
    <w:p w14:paraId="0E895013" w14:textId="77777777" w:rsidR="007808A0" w:rsidRPr="007808A0" w:rsidRDefault="007808A0" w:rsidP="007808A0">
      <w:pPr>
        <w:pStyle w:val="Ttulo2"/>
        <w:rPr>
          <w:rFonts w:asciiTheme="majorHAnsi" w:hAnsiTheme="majorHAnsi"/>
          <w:lang w:val="es-UY"/>
        </w:rPr>
      </w:pPr>
      <w:r w:rsidRPr="007808A0">
        <w:rPr>
          <w:rFonts w:asciiTheme="majorHAnsi" w:hAnsiTheme="majorHAnsi"/>
          <w:lang w:val="es-UY"/>
        </w:rPr>
        <w:t>CONCLUSIÓN</w:t>
      </w:r>
    </w:p>
    <w:p w14:paraId="44D1A751"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La implementación de las dos primeras recomendaciones incrementaría el Profit total desde aproximadamente USD 286,000 hasta USD 482,000, lo que representa una mejora estimada del 68%, sin necesidad de aumentar el volumen de ventas.</w:t>
      </w:r>
    </w:p>
    <w:p w14:paraId="3A0CB407" w14:textId="77777777" w:rsidR="007808A0" w:rsidRPr="007808A0" w:rsidRDefault="007808A0" w:rsidP="007808A0">
      <w:pPr>
        <w:pBdr>
          <w:top w:val="single" w:sz="3" w:space="6" w:color="CCCCCC"/>
        </w:pBdr>
        <w:spacing w:before="120"/>
        <w:rPr>
          <w:rFonts w:asciiTheme="majorHAnsi" w:hAnsiTheme="majorHAnsi"/>
          <w:sz w:val="24"/>
          <w:szCs w:val="24"/>
          <w:lang w:val="es-UY"/>
        </w:rPr>
      </w:pPr>
      <w:r w:rsidRPr="007808A0">
        <w:rPr>
          <w:rFonts w:asciiTheme="majorHAnsi" w:hAnsiTheme="majorHAnsi"/>
          <w:sz w:val="24"/>
          <w:szCs w:val="24"/>
          <w:lang w:val="es-UY"/>
        </w:rPr>
        <w:t>La base de ingresos de la empresa es sólida. En esta etapa, el principal desafío no consiste en vender más, sino en mejorar la ejecución y la rentabilidad de cada transacción mediante una gestión más eficiente de descuentos, productos y mercados.</w:t>
      </w:r>
    </w:p>
    <w:p w14:paraId="14635613" w14:textId="77777777" w:rsidR="007808A0" w:rsidRPr="007808A0" w:rsidRDefault="007808A0" w:rsidP="007808A0">
      <w:pPr>
        <w:pBdr>
          <w:top w:val="single" w:sz="3" w:space="6" w:color="CCCCCC"/>
        </w:pBdr>
        <w:spacing w:before="120"/>
        <w:rPr>
          <w:rFonts w:asciiTheme="majorHAnsi" w:hAnsiTheme="majorHAnsi"/>
          <w:sz w:val="24"/>
          <w:szCs w:val="24"/>
        </w:rPr>
      </w:pPr>
      <w:r w:rsidRPr="007808A0">
        <w:rPr>
          <w:rFonts w:asciiTheme="majorHAnsi" w:hAnsiTheme="majorHAnsi"/>
          <w:sz w:val="24"/>
          <w:szCs w:val="24"/>
        </w:rPr>
        <w:pict w14:anchorId="7DF38BB7">
          <v:rect id="_x0000_i1059" style="width:0;height:1.5pt" o:hralign="center" o:hrstd="t" o:hr="t" fillcolor="#a0a0a0" stroked="f"/>
        </w:pict>
      </w:r>
    </w:p>
    <w:p w14:paraId="41E9CF19" w14:textId="77777777" w:rsidR="007808A0" w:rsidRPr="007808A0" w:rsidRDefault="007808A0" w:rsidP="007808A0">
      <w:pPr>
        <w:pBdr>
          <w:top w:val="single" w:sz="3" w:space="6" w:color="CCCCCC"/>
        </w:pBdr>
        <w:spacing w:before="120"/>
        <w:rPr>
          <w:rFonts w:asciiTheme="majorHAnsi" w:hAnsiTheme="majorHAnsi"/>
          <w:sz w:val="24"/>
          <w:szCs w:val="24"/>
        </w:rPr>
      </w:pPr>
      <w:r w:rsidRPr="007808A0">
        <w:rPr>
          <w:rFonts w:asciiTheme="majorHAnsi" w:hAnsiTheme="majorHAnsi"/>
          <w:b/>
          <w:bCs/>
          <w:sz w:val="24"/>
          <w:szCs w:val="24"/>
          <w:lang w:val="es-UY"/>
        </w:rPr>
        <w:t>Fuente de datos:</w:t>
      </w:r>
      <w:r w:rsidRPr="007808A0">
        <w:rPr>
          <w:rFonts w:asciiTheme="majorHAnsi" w:hAnsiTheme="majorHAnsi"/>
          <w:sz w:val="24"/>
          <w:szCs w:val="24"/>
          <w:lang w:val="es-UY"/>
        </w:rPr>
        <w:t xml:space="preserve"> 9,986 registros transaccionales correspondientes a 5,009 órdenes, 793 clientes y 1,862 productos. </w:t>
      </w:r>
      <w:proofErr w:type="spellStart"/>
      <w:r w:rsidRPr="007808A0">
        <w:rPr>
          <w:rFonts w:asciiTheme="majorHAnsi" w:hAnsiTheme="majorHAnsi"/>
          <w:sz w:val="24"/>
          <w:szCs w:val="24"/>
        </w:rPr>
        <w:t>Período</w:t>
      </w:r>
      <w:proofErr w:type="spellEnd"/>
      <w:r w:rsidRPr="007808A0">
        <w:rPr>
          <w:rFonts w:asciiTheme="majorHAnsi" w:hAnsiTheme="majorHAnsi"/>
          <w:sz w:val="24"/>
          <w:szCs w:val="24"/>
        </w:rPr>
        <w:t xml:space="preserve"> </w:t>
      </w:r>
      <w:proofErr w:type="spellStart"/>
      <w:r w:rsidRPr="007808A0">
        <w:rPr>
          <w:rFonts w:asciiTheme="majorHAnsi" w:hAnsiTheme="majorHAnsi"/>
          <w:sz w:val="24"/>
          <w:szCs w:val="24"/>
        </w:rPr>
        <w:t>analizado</w:t>
      </w:r>
      <w:proofErr w:type="spellEnd"/>
      <w:r w:rsidRPr="007808A0">
        <w:rPr>
          <w:rFonts w:asciiTheme="majorHAnsi" w:hAnsiTheme="majorHAnsi"/>
          <w:sz w:val="24"/>
          <w:szCs w:val="24"/>
        </w:rPr>
        <w:t xml:space="preserve">: </w:t>
      </w:r>
      <w:proofErr w:type="spellStart"/>
      <w:r w:rsidRPr="007808A0">
        <w:rPr>
          <w:rFonts w:asciiTheme="majorHAnsi" w:hAnsiTheme="majorHAnsi"/>
          <w:sz w:val="24"/>
          <w:szCs w:val="24"/>
        </w:rPr>
        <w:t>enero</w:t>
      </w:r>
      <w:proofErr w:type="spellEnd"/>
      <w:r w:rsidRPr="007808A0">
        <w:rPr>
          <w:rFonts w:asciiTheme="majorHAnsi" w:hAnsiTheme="majorHAnsi"/>
          <w:sz w:val="24"/>
          <w:szCs w:val="24"/>
        </w:rPr>
        <w:t xml:space="preserve"> de 2014 a </w:t>
      </w:r>
      <w:proofErr w:type="spellStart"/>
      <w:r w:rsidRPr="007808A0">
        <w:rPr>
          <w:rFonts w:asciiTheme="majorHAnsi" w:hAnsiTheme="majorHAnsi"/>
          <w:sz w:val="24"/>
          <w:szCs w:val="24"/>
        </w:rPr>
        <w:t>diciembre</w:t>
      </w:r>
      <w:proofErr w:type="spellEnd"/>
      <w:r w:rsidRPr="007808A0">
        <w:rPr>
          <w:rFonts w:asciiTheme="majorHAnsi" w:hAnsiTheme="majorHAnsi"/>
          <w:sz w:val="24"/>
          <w:szCs w:val="24"/>
        </w:rPr>
        <w:t xml:space="preserve"> de 2017.</w:t>
      </w:r>
    </w:p>
    <w:p w14:paraId="3A78F951" w14:textId="5733E06E" w:rsidR="002C18D8" w:rsidRPr="007808A0" w:rsidRDefault="002C18D8">
      <w:pPr>
        <w:pBdr>
          <w:top w:val="single" w:sz="3" w:space="6" w:color="CCCCCC"/>
        </w:pBdr>
        <w:spacing w:before="120"/>
        <w:rPr>
          <w:sz w:val="24"/>
          <w:szCs w:val="24"/>
        </w:rPr>
      </w:pPr>
    </w:p>
    <w:sectPr w:rsidR="002C18D8" w:rsidRPr="007808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51469"/>
    <w:multiLevelType w:val="hybridMultilevel"/>
    <w:tmpl w:val="F96E8DF2"/>
    <w:lvl w:ilvl="0" w:tplc="F3A6E5B6">
      <w:start w:val="1"/>
      <w:numFmt w:val="bullet"/>
      <w:lvlText w:val="●"/>
      <w:lvlJc w:val="left"/>
      <w:pPr>
        <w:ind w:left="720" w:hanging="360"/>
      </w:pPr>
    </w:lvl>
    <w:lvl w:ilvl="1" w:tplc="0478D28E">
      <w:start w:val="1"/>
      <w:numFmt w:val="bullet"/>
      <w:lvlText w:val="○"/>
      <w:lvlJc w:val="left"/>
      <w:pPr>
        <w:ind w:left="1440" w:hanging="360"/>
      </w:pPr>
    </w:lvl>
    <w:lvl w:ilvl="2" w:tplc="22D83364">
      <w:start w:val="1"/>
      <w:numFmt w:val="bullet"/>
      <w:lvlText w:val="■"/>
      <w:lvlJc w:val="left"/>
      <w:pPr>
        <w:ind w:left="2160" w:hanging="360"/>
      </w:pPr>
    </w:lvl>
    <w:lvl w:ilvl="3" w:tplc="FBE05290">
      <w:start w:val="1"/>
      <w:numFmt w:val="bullet"/>
      <w:lvlText w:val="●"/>
      <w:lvlJc w:val="left"/>
      <w:pPr>
        <w:ind w:left="2880" w:hanging="360"/>
      </w:pPr>
    </w:lvl>
    <w:lvl w:ilvl="4" w:tplc="B704C960">
      <w:start w:val="1"/>
      <w:numFmt w:val="bullet"/>
      <w:lvlText w:val="○"/>
      <w:lvlJc w:val="left"/>
      <w:pPr>
        <w:ind w:left="3600" w:hanging="360"/>
      </w:pPr>
    </w:lvl>
    <w:lvl w:ilvl="5" w:tplc="03C05550">
      <w:start w:val="1"/>
      <w:numFmt w:val="bullet"/>
      <w:lvlText w:val="■"/>
      <w:lvlJc w:val="left"/>
      <w:pPr>
        <w:ind w:left="4320" w:hanging="360"/>
      </w:pPr>
    </w:lvl>
    <w:lvl w:ilvl="6" w:tplc="79F2A158">
      <w:start w:val="1"/>
      <w:numFmt w:val="bullet"/>
      <w:lvlText w:val="●"/>
      <w:lvlJc w:val="left"/>
      <w:pPr>
        <w:ind w:left="5040" w:hanging="360"/>
      </w:pPr>
    </w:lvl>
    <w:lvl w:ilvl="7" w:tplc="20B671B4">
      <w:start w:val="1"/>
      <w:numFmt w:val="bullet"/>
      <w:lvlText w:val="●"/>
      <w:lvlJc w:val="left"/>
      <w:pPr>
        <w:ind w:left="5760" w:hanging="360"/>
      </w:pPr>
    </w:lvl>
    <w:lvl w:ilvl="8" w:tplc="86469080">
      <w:start w:val="1"/>
      <w:numFmt w:val="bullet"/>
      <w:lvlText w:val="●"/>
      <w:lvlJc w:val="left"/>
      <w:pPr>
        <w:ind w:left="6480" w:hanging="360"/>
      </w:pPr>
    </w:lvl>
  </w:abstractNum>
  <w:num w:numId="1" w16cid:durableId="1838769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8D8"/>
    <w:rsid w:val="002C18D8"/>
    <w:rsid w:val="007808A0"/>
    <w:rsid w:val="00863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D13F"/>
  <w15:docId w15:val="{43FBFDE4-7602-429C-B633-D9E41CB84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Antonella Brochini</cp:lastModifiedBy>
  <cp:revision>2</cp:revision>
  <dcterms:created xsi:type="dcterms:W3CDTF">2026-06-15T14:23:00Z</dcterms:created>
  <dcterms:modified xsi:type="dcterms:W3CDTF">2026-07-08T23:51:00Z</dcterms:modified>
</cp:coreProperties>
</file>