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However,  studies examining  generalization  of  new  words  in  ASD  have</w:t>
      </w:r>
    </w:p>
    <w:p w:rsidR="00000000" w:rsidDel="00000000" w:rsidP="00000000" w:rsidRDefault="00000000" w:rsidRPr="00000000" w14:paraId="00000002">
      <w:pPr>
        <w:rPr>
          <w:sz w:val="24"/>
          <w:szCs w:val="24"/>
        </w:rPr>
      </w:pPr>
      <w:r w:rsidDel="00000000" w:rsidR="00000000" w:rsidRPr="00000000">
        <w:rPr>
          <w:sz w:val="24"/>
          <w:szCs w:val="24"/>
          <w:rtl w:val="0"/>
        </w:rPr>
        <w:t xml:space="preserve">yielded   mixed   findings   [McGregor   &amp;   Bean,   2012; Menyuk  &amp;  Quill,  1985;  Tager-Flusberg,  1988;  Vogin-droukas, Papageorgiou, &amp; Vostanis, 2003]. </w:t>
      </w:r>
    </w:p>
    <w:p w:rsidR="00000000" w:rsidDel="00000000" w:rsidP="00000000" w:rsidRDefault="00000000" w:rsidRPr="00000000" w14:paraId="00000003">
      <w:pPr>
        <w:rPr>
          <w:sz w:val="24"/>
          <w:szCs w:val="24"/>
        </w:rPr>
      </w:pPr>
      <w:r w:rsidDel="00000000" w:rsidR="00000000" w:rsidRPr="00000000">
        <w:rPr>
          <w:sz w:val="24"/>
          <w:szCs w:val="24"/>
          <w:rtl w:val="0"/>
        </w:rPr>
        <w:t xml:space="preserve">when children with ASD who have low expressive language  levels  [Hartley  &amp;  Allen,  2014,  2015]  and/or  IQs below  70  [Preissler,  2008]  are  targeted,  studies  suggest impairments in extension to appropriate category members.</w:t>
      </w:r>
    </w:p>
    <w:p w:rsidR="00000000" w:rsidDel="00000000" w:rsidP="00000000" w:rsidRDefault="00000000" w:rsidRPr="00000000" w14:paraId="00000004">
      <w:pPr>
        <w:rPr>
          <w:sz w:val="24"/>
          <w:szCs w:val="24"/>
        </w:rPr>
      </w:pPr>
      <w:r w:rsidDel="00000000" w:rsidR="00000000" w:rsidRPr="00000000">
        <w:rPr>
          <w:sz w:val="24"/>
          <w:szCs w:val="24"/>
          <w:rtl w:val="0"/>
        </w:rPr>
        <w:t xml:space="preserve">TD children  prefer  to  generalize nouns by shape, rather than by other attributes such as color  or  texture,  by  about  2  years  of  age  [Landau, Smith,  &amp;  Jones,  1988].  Tek  et  al.  [2008]  and  Potrzeba et  al.  [2015]  found  that  children  with  ASD  as  a  group did  not  use  the  shape  bias  to  categorize  novel  nouns even at 4 years, although Field et al. [2015] found that children  with  a  relatively  high  verbal  mental  age  did use  the  shape  bias  (and  children  with  a  lower  verbal mental age did not), and Potrzeba et al. [2015] reported intriguing associations between vocabulary size and fine motor  skill  in  a  subset  of  children  with  ASD  who  did show evidence of the shape bias.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Another question demanding additional study is why semantic  networks  appear  to  be  different  in  ASD.  It  is not yet clear  whether the differences are  qualitative or quantitative, conceptual or linguistic. One possibility is that  poor  memory  for  and  integration  of  new  word meanings into children’s existing knowledge is partially to   blame.   (Henderson,   Powell,   Gareth,   &amp;   Norbury[2014]  argue  that  word “form” integration  is  impaired  in ASD;   whether   word   meaning   integration   is   as   well remains to be seen.) Memories, including memories for words,  undergo  consolidation  over  time,  and  during this  memory  consolidation  process  they  become  integrated  with  existing  lexical  knowledge. If this is impaired, it will be important to  study  the  role  of  sleep  in  learning  and  memory  in ASD. Sleep problems are pervasive in ASD [e.g., Goodlin-Jones, Tang, Liu, &amp; Anders,  2008;  Hollway  &amp;  Aman,  2011;  Malow  et  al., 2006; Richdale, 1999], suggesting that memory consolidation   may   proceed   differently   in   these   children.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We  suggest  that  while  children  with  ASD  have  the same  fundamental  machinery  for  lexical  development as typically developing children, there are apparent differences  in  the  efficacy  of  these  learning  mechanisms due to (1) disruptions in supporting systems; and (perhaps causing) (2) differences in children’s intake of the language input they receive. With regard to the former, even for typically-developing children, attendant cognitive systems like  attention, memory, cognitive control, and  processing  speed  develop  throughout  early  childhood  [e.g.,  Courage  &amp;  Cowen,  2009;  Fernald  et  al., 1998; Mazuka, Jincho, &amp; Oishi, 2009; Trueswell, Sekerina, Hill, &amp; Logrip, 1999], and therefore the representations  that  children  form  from  the  input  are  “filtered” through  these  systems  [e.g.,  Omaki  &amp;  Lidz,  2015].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  important  issue  for  future  research,  then,  is how we  can  increase  children’s  intake  from  the  input—that  is, we  must  identify under  what  conditions  children  with ASD  benefit  from  information  available  in  their  environment, and how we can maximize those condition.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