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Chagas disease: review of needs, neglect, and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obstacles to treatment access in Latin America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Chagas disease (CD) has been around for more than one century; however, it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continues to be one of the most prevalent public health problems in Latin America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to date. Despite the right to health and access to essential medications, CD is a key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example of the barriers to accessing primary health care (PHC) services.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Information on production costs in pharmaceutical industries is generally withheld.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Decoding production costs for CD treatment may be useful for patients, managers,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and governments to have adequate information for decision-making and advocacy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planning to increase access to CD treatment with more precision. Given the lack of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knowledge and information regarding the access to CD diagnosis and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treatment, Médecins Sans Frontières (MSF) Brazil conducted an investigation in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2015 in collaboration with a consultant to better understand the global standards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for the production of medication for the treatment of CD, specifically benznidazole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(BZN).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The investigation included interviews of laboratory staff and questionnaires sent to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laboratories that manufacture the raw materials for the final BZN pill. From the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information collected, an analysis model of cost appropriation was built based on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the methodology proposed by Pinheiro et al., in 2006. This model has already been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validated by the World Health Organization (WHO) and has been used in previous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studies by the consultancy agency, particularly those investigating the cost of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antiretroviral drugs.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The model is based on a fluxogram where the standard cost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(or unitary production cost) is pre-determined and obtained through the detailed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study of the use of raw materials, labor, equipment, and the sum of all procedures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that make up the global process to manufacture one unit of the physical product.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Thus, direct costs (depreciation of equipment, labor, formulation, packaging, and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domestic transportation), indirect costs of production (overhead, administration,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research, reinvestment, and general production costs), and profit margin are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analyzed in the model. In this review, findings from the model are highlighted in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order to shed light on the factors affecting access to BZN in Latin America and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particularly Brazil.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