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общие-сведения"/>
    <w:p>
      <w:pPr>
        <w:pStyle w:val="Heading2"/>
      </w:pPr>
      <w:r>
        <w:t xml:space="preserve">1. Общие сведения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Narrative2DomainModel GUI</w:t>
      </w:r>
      <w:r>
        <w:br/>
      </w:r>
      <w:r>
        <w:rPr>
          <w:b/>
          <w:bCs/>
        </w:rPr>
        <w:t xml:space="preserve">Цель:</w:t>
      </w:r>
      <w:r>
        <w:t xml:space="preserve"> </w:t>
      </w:r>
      <w:r>
        <w:t xml:space="preserve">Настольное приложение c графическим интерфейсом (GUI) на русском языке, которое преобразует «рассказ» (текстовый файл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 </w:t>
      </w:r>
      <w:r>
        <w:t xml:space="preserve">в Юникоде или аудиофайл</w:t>
      </w:r>
      <w:r>
        <w:t xml:space="preserve"> </w:t>
      </w:r>
      <w:r>
        <w:rPr>
          <w:rStyle w:val="VerbatimChar"/>
        </w:rPr>
        <w:t xml:space="preserve">*.mp3</w:t>
      </w:r>
      <w:r>
        <w:t xml:space="preserve">) в доменную схему и процессную модель</w:t>
      </w:r>
      <w:r>
        <w:t xml:space="preserve"> </w:t>
      </w:r>
      <w:r>
        <w:rPr>
          <w:b/>
          <w:bCs/>
        </w:rPr>
        <w:t xml:space="preserve">BPMN 2.0</w:t>
      </w:r>
      <w:r>
        <w:t xml:space="preserve"> </w:t>
      </w:r>
      <w:r>
        <w:t xml:space="preserve">(Camunda 8‐совместимый), используя OpenAI API.</w:t>
      </w:r>
      <w:r>
        <w:br/>
      </w:r>
      <w:r>
        <w:rPr>
          <w:b/>
          <w:bCs/>
        </w:rPr>
        <w:t xml:space="preserve">Основание:</w:t>
      </w:r>
      <w:r>
        <w:t xml:space="preserve"> </w:t>
      </w:r>
      <w:r>
        <w:t xml:space="preserve">методика «Domain Modeling Steps v 2.2» + пример BPMN «diagram_1.bpmn».</w:t>
      </w:r>
      <w:r>
        <w:br/>
      </w:r>
      <w:r>
        <w:rPr>
          <w:b/>
          <w:bCs/>
        </w:rPr>
        <w:t xml:space="preserve">Дата ТЗ:</w:t>
      </w:r>
      <w:r>
        <w:t xml:space="preserve"> </w:t>
      </w:r>
      <w:r>
        <w:t xml:space="preserve">17 июня 2025 г.</w:t>
      </w:r>
    </w:p>
    <w:bookmarkEnd w:id="20"/>
    <w:bookmarkStart w:id="21" w:name="термины-и-сокращения"/>
    <w:p>
      <w:pPr>
        <w:pStyle w:val="Heading2"/>
      </w:pPr>
      <w:r>
        <w:t xml:space="preserve">2. Термины и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Рассказ</w:t>
            </w:r>
          </w:p>
        </w:tc>
        <w:tc>
          <w:tcPr/>
          <w:p>
            <w:pPr>
              <w:pStyle w:val="Compact"/>
            </w:pPr>
            <w:r>
              <w:t xml:space="preserve">Неформальное описание процессов, требований или опыта.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Доменная схема</w:t>
            </w:r>
          </w:p>
        </w:tc>
        <w:tc>
          <w:tcPr/>
          <w:p>
            <w:pPr>
              <w:pStyle w:val="Compact"/>
            </w:pPr>
            <w:r>
              <w:t xml:space="preserve">JSON‑граф доменов, потоков и накопителей.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t xml:space="preserve">Business Process Model &amp; Notation 2.0.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Camunda 8</w:t>
            </w:r>
          </w:p>
        </w:tc>
        <w:tc>
          <w:tcPr/>
          <w:p>
            <w:pPr>
              <w:pStyle w:val="Compact"/>
            </w:pPr>
            <w:r>
              <w:t xml:space="preserve">Платформа автоматизации процессов, требующая валидный BPMN‑XML.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Графический интерфейс 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REST‑интерфейс к GPT‑4o family.</w:t>
            </w:r>
          </w:p>
        </w:tc>
      </w:tr>
    </w:tbl>
    <w:bookmarkEnd w:id="21"/>
    <w:bookmarkStart w:id="25" w:name="функциональные-требования"/>
    <w:p>
      <w:pPr>
        <w:pStyle w:val="Heading2"/>
      </w:pPr>
      <w:r>
        <w:t xml:space="preserve">3. Функциональные требования</w:t>
      </w:r>
    </w:p>
    <w:bookmarkStart w:id="22" w:name="возможности-приложения"/>
    <w:p>
      <w:pPr>
        <w:pStyle w:val="Heading3"/>
      </w:pPr>
      <w:r>
        <w:t xml:space="preserve">3.1. Возможности приложения</w:t>
      </w:r>
    </w:p>
    <w:p>
      <w:pPr>
        <w:pStyle w:val="Compact"/>
        <w:numPr>
          <w:ilvl w:val="0"/>
          <w:numId w:val="1001"/>
        </w:numPr>
      </w:pPr>
      <w:r>
        <w:t xml:space="preserve">Загрузка входных данных (drag‑and‑drop или диалог</w:t>
      </w:r>
      <w:r>
        <w:t xml:space="preserve"> </w:t>
      </w:r>
      <w:r>
        <w:rPr>
          <w:b/>
          <w:bCs/>
        </w:rPr>
        <w:t xml:space="preserve">Открыть файл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Текст</w:t>
      </w:r>
      <w:r>
        <w:rPr>
          <w:b/>
          <w:bCs/>
        </w:rPr>
        <w:t xml:space="preserve"> </w:t>
      </w:r>
      <w:r>
        <w:t xml:space="preserve">`` — кодировка UTF‑8 (русский язык).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Аудио</w:t>
      </w:r>
      <w:r>
        <w:rPr>
          <w:b/>
          <w:bCs/>
        </w:rPr>
        <w:t xml:space="preserve"> </w:t>
      </w:r>
      <w:r>
        <w:t xml:space="preserve">`` — до 30 мин; транскрипция Whisper‑timestamped.</w:t>
      </w:r>
    </w:p>
    <w:p>
      <w:pPr>
        <w:pStyle w:val="Compact"/>
        <w:numPr>
          <w:ilvl w:val="0"/>
          <w:numId w:val="1001"/>
        </w:numPr>
      </w:pPr>
      <w:r>
        <w:t xml:space="preserve">Отображение источника в отдельной вкладке «Предпросмотр» (текст или аудио‑waveform).</w:t>
      </w:r>
    </w:p>
    <w:p>
      <w:pPr>
        <w:pStyle w:val="Compact"/>
        <w:numPr>
          <w:ilvl w:val="0"/>
          <w:numId w:val="1001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«Сгенерировать модель»</w:t>
      </w:r>
      <w:r>
        <w:t xml:space="preserve"> </w:t>
      </w:r>
      <w:r>
        <w:t xml:space="preserve">запускает конвейер шагов (см. п. 3.2).</w:t>
      </w:r>
    </w:p>
    <w:p>
      <w:pPr>
        <w:pStyle w:val="Compact"/>
        <w:numPr>
          <w:ilvl w:val="1"/>
          <w:numId w:val="1003"/>
        </w:numPr>
      </w:pPr>
      <w:r>
        <w:t xml:space="preserve">Индикатор прогресса (QProgressBar) и журнал событий (оконный виджет‑консоль).</w:t>
      </w:r>
    </w:p>
    <w:p>
      <w:pPr>
        <w:pStyle w:val="Compact"/>
        <w:numPr>
          <w:ilvl w:val="0"/>
          <w:numId w:val="1001"/>
        </w:numPr>
      </w:pPr>
      <w:r>
        <w:t xml:space="preserve">По завершении:</w:t>
      </w:r>
    </w:p>
    <w:p>
      <w:pPr>
        <w:pStyle w:val="Compact"/>
        <w:numPr>
          <w:ilvl w:val="1"/>
          <w:numId w:val="1004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«Схема»</w:t>
      </w:r>
      <w:r>
        <w:t xml:space="preserve"> </w:t>
      </w:r>
      <w:r>
        <w:t xml:space="preserve">— визуализация доменной схемы (GraphViz embedded SVG).</w:t>
      </w:r>
    </w:p>
    <w:p>
      <w:pPr>
        <w:pStyle w:val="Compact"/>
        <w:numPr>
          <w:ilvl w:val="1"/>
          <w:numId w:val="1004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«BPMN»</w:t>
      </w:r>
      <w:r>
        <w:t xml:space="preserve"> </w:t>
      </w:r>
      <w:r>
        <w:t xml:space="preserve">— встроенный viewer CamundaModeler‑style (read‑only) + кнопка</w:t>
      </w:r>
      <w:r>
        <w:t xml:space="preserve"> </w:t>
      </w:r>
      <w:r>
        <w:rPr>
          <w:b/>
          <w:bCs/>
        </w:rPr>
        <w:t xml:space="preserve">Сохранить</w:t>
      </w:r>
      <w:r>
        <w:rPr>
          <w:b/>
          <w:bCs/>
        </w:rPr>
        <w:t xml:space="preserve"> </w:t>
      </w:r>
      <w:r>
        <w:t xml:space="preserve">``.</w:t>
      </w:r>
    </w:p>
    <w:p>
      <w:pPr>
        <w:pStyle w:val="Compact"/>
        <w:numPr>
          <w:ilvl w:val="1"/>
          <w:numId w:val="1004"/>
        </w:numPr>
      </w:pPr>
      <w:r>
        <w:t xml:space="preserve">Вкладка</w:t>
      </w:r>
      <w:r>
        <w:t xml:space="preserve"> </w:t>
      </w:r>
      <w:r>
        <w:rPr>
          <w:b/>
          <w:bCs/>
        </w:rPr>
        <w:t xml:space="preserve">«Отчёт»</w:t>
      </w:r>
      <w:r>
        <w:t xml:space="preserve"> </w:t>
      </w:r>
      <w:r>
        <w:t xml:space="preserve">— Markdown‑рендер отчёта.</w:t>
      </w:r>
    </w:p>
    <w:p>
      <w:pPr>
        <w:pStyle w:val="Compact"/>
        <w:numPr>
          <w:ilvl w:val="0"/>
          <w:numId w:val="1001"/>
        </w:numPr>
      </w:pPr>
      <w:r>
        <w:t xml:space="preserve">Меню </w:t>
      </w:r>
      <w:r>
        <w:rPr>
          <w:b/>
          <w:bCs/>
        </w:rPr>
        <w:t xml:space="preserve">Настройки → OpenAI API Key…</w:t>
      </w:r>
    </w:p>
    <w:p>
      <w:pPr>
        <w:pStyle w:val="Compact"/>
        <w:numPr>
          <w:ilvl w:val="1"/>
          <w:numId w:val="1005"/>
        </w:numPr>
      </w:pPr>
      <w:r>
        <w:t xml:space="preserve">Диалог ввода/изменения ключа.</w:t>
      </w:r>
    </w:p>
    <w:p>
      <w:pPr>
        <w:pStyle w:val="Compact"/>
        <w:numPr>
          <w:ilvl w:val="1"/>
          <w:numId w:val="1005"/>
        </w:numPr>
      </w:pPr>
      <w:r>
        <w:t xml:space="preserve">Ключ сохраняется в конфигурационном файле</w:t>
      </w:r>
      <w:r>
        <w:t xml:space="preserve"> </w:t>
      </w:r>
      <w:r>
        <w:rPr>
          <w:rStyle w:val="VerbatimChar"/>
        </w:rPr>
        <w:t xml:space="preserve">~/.n2dm/config.toml</w:t>
      </w:r>
      <w:r>
        <w:t xml:space="preserve"> </w:t>
      </w:r>
      <w:r>
        <w:t xml:space="preserve">(раздел</w:t>
      </w:r>
      <w:r>
        <w:t xml:space="preserve"> </w:t>
      </w:r>
      <w:r>
        <w:rPr>
          <w:rStyle w:val="VerbatimChar"/>
        </w:rPr>
        <w:t xml:space="preserve">[openai] api_key="…"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Файл создаётся при первом запуске; читается при старте приложения.</w:t>
      </w:r>
    </w:p>
    <w:p>
      <w:pPr>
        <w:pStyle w:val="Compact"/>
        <w:numPr>
          <w:ilvl w:val="0"/>
          <w:numId w:val="1001"/>
        </w:numPr>
      </w:pPr>
      <w:r>
        <w:t xml:space="preserve">Поддержка прокси (HTTP/SOCKS) через настройки.</w:t>
      </w:r>
    </w:p>
    <w:p>
      <w:pPr>
        <w:pStyle w:val="Compact"/>
        <w:numPr>
          <w:ilvl w:val="0"/>
          <w:numId w:val="1001"/>
        </w:numPr>
      </w:pPr>
      <w:r>
        <w:t xml:space="preserve">Авто‑проверка обновлений (GitHub Releases) и уведомление пользователя.</w:t>
      </w:r>
    </w:p>
    <w:bookmarkEnd w:id="22"/>
    <w:bookmarkStart w:id="23" w:name="конвейер-обработки"/>
    <w:p>
      <w:pPr>
        <w:pStyle w:val="Heading3"/>
      </w:pPr>
      <w:r>
        <w:t xml:space="preserve">3.2. Конвейер обработки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4386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Pre‑processing</w:t>
            </w:r>
          </w:p>
        </w:tc>
        <w:tc>
          <w:tcPr/>
          <w:p>
            <w:pPr>
              <w:pStyle w:val="Compact"/>
            </w:pPr>
            <w:r>
              <w:t xml:space="preserve">Загрузка файла, (при необходимости) транскрипция, очистка, детект языка.</w:t>
            </w:r>
          </w:p>
        </w:tc>
        <w:tc>
          <w:tcPr/>
          <w:p>
            <w:pPr>
              <w:pStyle w:val="Compact"/>
            </w:pPr>
            <w:r>
              <w:t xml:space="preserve">Python + whisper‑timestamped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0 – GlossaryBuilder</w:t>
            </w:r>
          </w:p>
        </w:tc>
        <w:tc>
          <w:tcPr/>
          <w:p>
            <w:pPr>
              <w:pStyle w:val="Compact"/>
            </w:pPr>
            <w:r>
              <w:t xml:space="preserve">Извлечение терминов</w:t>
            </w:r>
          </w:p>
        </w:tc>
        <w:tc>
          <w:tcPr/>
          <w:p>
            <w:pPr>
              <w:pStyle w:val="Compact"/>
            </w:pPr>
            <w:r>
              <w:t xml:space="preserve">GPT (function‑calling)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1 – ActionExtractor</w:t>
            </w:r>
          </w:p>
        </w:tc>
        <w:tc>
          <w:tcPr/>
          <w:p>
            <w:pPr>
              <w:pStyle w:val="Compact"/>
            </w:pPr>
            <w:r>
              <w:t xml:space="preserve">«Кто‑делает‑что»</w:t>
            </w:r>
          </w:p>
        </w:tc>
        <w:tc>
          <w:tcPr/>
          <w:p>
            <w:pPr>
              <w:pStyle w:val="Compact"/>
            </w:pPr>
            <w:r>
              <w:t xml:space="preserve">GPT (JSON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2 – DomainGrouper</w:t>
            </w:r>
          </w:p>
        </w:tc>
        <w:tc>
          <w:tcPr/>
          <w:p>
            <w:pPr>
              <w:pStyle w:val="Compact"/>
            </w:pPr>
            <w:r>
              <w:t xml:space="preserve">Группировка действий в домены</w:t>
            </w:r>
          </w:p>
        </w:tc>
        <w:tc>
          <w:tcPr/>
          <w:p>
            <w:pPr>
              <w:pStyle w:val="Compact"/>
            </w:pPr>
            <w:r>
              <w:t xml:space="preserve">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3 – FlowMapper</w:t>
            </w:r>
          </w:p>
        </w:tc>
        <w:tc>
          <w:tcPr/>
          <w:p>
            <w:pPr>
              <w:pStyle w:val="Compact"/>
            </w:pPr>
            <w:r>
              <w:t xml:space="preserve">Потоки R/T/F/E/Z, накопители</w:t>
            </w:r>
          </w:p>
        </w:tc>
        <w:tc>
          <w:tcPr/>
          <w:p>
            <w:pPr>
              <w:pStyle w:val="Compact"/>
            </w:pPr>
            <w:r>
              <w:t xml:space="preserve">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4 – RiskAnnotator</w:t>
            </w:r>
          </w:p>
        </w:tc>
        <w:tc>
          <w:tcPr/>
          <w:p>
            <w:pPr>
              <w:pStyle w:val="Compact"/>
            </w:pPr>
            <w:r>
              <w:t xml:space="preserve">Внешние силы и риски</w:t>
            </w:r>
          </w:p>
        </w:tc>
        <w:tc>
          <w:tcPr/>
          <w:p>
            <w:pPr>
              <w:pStyle w:val="Compact"/>
            </w:pPr>
            <w:r>
              <w:t xml:space="preserve">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5 – ConnectivityValidator</w:t>
            </w:r>
          </w:p>
        </w:tc>
        <w:tc>
          <w:tcPr/>
          <w:p>
            <w:pPr>
              <w:pStyle w:val="Compact"/>
            </w:pPr>
            <w:r>
              <w:t xml:space="preserve">Проверка целостности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 6 – BPMNExporter</w:t>
            </w:r>
          </w:p>
        </w:tc>
        <w:tc>
          <w:tcPr/>
          <w:p>
            <w:pPr>
              <w:pStyle w:val="Compact"/>
            </w:pPr>
            <w:r>
              <w:t xml:space="preserve">Генерация</w:t>
            </w:r>
            <w:r>
              <w:t xml:space="preserve"> </w:t>
            </w:r>
            <w:r>
              <w:rPr>
                <w:rStyle w:val="VerbatimChar"/>
              </w:rPr>
              <w:t xml:space="preserve">process.bpmn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diagram.gv</w:t>
            </w:r>
          </w:p>
        </w:tc>
        <w:tc>
          <w:tcPr/>
          <w:p>
            <w:pPr>
              <w:pStyle w:val="Compact"/>
            </w:pPr>
            <w:r>
              <w:t xml:space="preserve">Python + lxml + graphviz</w:t>
            </w:r>
          </w:p>
        </w:tc>
      </w:tr>
    </w:tbl>
    <w:p>
      <w:pPr>
        <w:pStyle w:val="BodyText"/>
      </w:pPr>
      <w:r>
        <w:t xml:space="preserve">Все шаги реализуются как сервис‑классы с интерфейсом</w:t>
      </w:r>
      <w:r>
        <w:t xml:space="preserve"> </w:t>
      </w:r>
      <w:r>
        <w:rPr>
          <w:rStyle w:val="VerbatimChar"/>
        </w:rPr>
        <w:t xml:space="preserve">run(input: dict) -&gt; dict</w:t>
      </w:r>
      <w:r>
        <w:t xml:space="preserve"> </w:t>
      </w:r>
      <w:r>
        <w:t xml:space="preserve">и вызываются последовательно в асинхронном потоке, чтобы не блокировать GUI.</w:t>
      </w:r>
    </w:p>
    <w:bookmarkEnd w:id="23"/>
    <w:bookmarkStart w:id="24" w:name="хранение-конфигурации"/>
    <w:p>
      <w:pPr>
        <w:pStyle w:val="Heading3"/>
      </w:pPr>
      <w:r>
        <w:t xml:space="preserve">3.3. Хранение конфигурации</w:t>
      </w:r>
    </w:p>
    <w:p>
      <w:pPr>
        <w:pStyle w:val="SourceCode"/>
      </w:pPr>
      <w:r>
        <w:rPr>
          <w:rStyle w:val="CommentTok"/>
        </w:rPr>
        <w:t xml:space="preserve"># ~/.n2dm/config.toml</w:t>
      </w:r>
      <w:r>
        <w:br/>
      </w:r>
      <w:r>
        <w:rPr>
          <w:rStyle w:val="KeywordTok"/>
        </w:rPr>
        <w:t xml:space="preserve">[openai]</w:t>
      </w:r>
      <w:r>
        <w:br/>
      </w:r>
      <w:r>
        <w:rPr>
          <w:rStyle w:val="DataTypeTok"/>
        </w:rPr>
        <w:t xml:space="preserve">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"sk‑…"</w:t>
      </w:r>
      <w:r>
        <w:br/>
      </w:r>
      <w:r>
        <w:rPr>
          <w:rStyle w:val="DataTyp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"gpt‑4o‑mini"</w:t>
      </w:r>
      <w:r>
        <w:br/>
      </w:r>
      <w:r>
        <w:rPr>
          <w:rStyle w:val="DataTyp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max_tokens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48000</w:t>
      </w:r>
    </w:p>
    <w:p>
      <w:pPr>
        <w:pStyle w:val="Compact"/>
        <w:numPr>
          <w:ilvl w:val="0"/>
          <w:numId w:val="1006"/>
        </w:numPr>
      </w:pPr>
      <w:r>
        <w:t xml:space="preserve">Чтение / запись через</w:t>
      </w:r>
      <w:r>
        <w:t xml:space="preserve"> </w:t>
      </w:r>
      <w:r>
        <w:rPr>
          <w:rStyle w:val="VerbatimChar"/>
        </w:rPr>
        <w:t xml:space="preserve">pydantic‑settings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Ключ хранится в plain‑text; рекомендуется защита правами</w:t>
      </w:r>
      <w:r>
        <w:t xml:space="preserve"> </w:t>
      </w:r>
      <w:r>
        <w:rPr>
          <w:rStyle w:val="VerbatimChar"/>
        </w:rPr>
        <w:t xml:space="preserve">0600</w:t>
      </w:r>
      <w:r>
        <w:t xml:space="preserve">.</w:t>
      </w:r>
    </w:p>
    <w:bookmarkEnd w:id="24"/>
    <w:bookmarkEnd w:id="25"/>
    <w:bookmarkStart w:id="28" w:name="вход-и-выход"/>
    <w:p>
      <w:pPr>
        <w:pStyle w:val="Heading2"/>
      </w:pPr>
      <w:r>
        <w:t xml:space="preserve">4. Вход и выход</w:t>
      </w:r>
    </w:p>
    <w:bookmarkStart w:id="26" w:name="входные-данные"/>
    <w:p>
      <w:pPr>
        <w:pStyle w:val="Heading3"/>
      </w:pPr>
      <w:r>
        <w:t xml:space="preserve">4.1. Входные данные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*.txt</w:t>
            </w:r>
          </w:p>
        </w:tc>
        <w:tc>
          <w:tcPr/>
          <w:p>
            <w:pPr>
              <w:pStyle w:val="Compact"/>
            </w:pPr>
            <w:r>
              <w:t xml:space="preserve">UTF‑8, ≤ 10 000 слов, язык — русский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*.mp3</w:t>
            </w:r>
          </w:p>
        </w:tc>
        <w:tc>
          <w:tcPr/>
          <w:p>
            <w:pPr>
              <w:pStyle w:val="Compact"/>
            </w:pPr>
            <w:r>
              <w:t xml:space="preserve">16‑320 kbps, ≤ 30 мин</w:t>
            </w:r>
          </w:p>
        </w:tc>
      </w:tr>
    </w:tbl>
    <w:bookmarkEnd w:id="26"/>
    <w:bookmarkStart w:id="27" w:name="выходные-файлы"/>
    <w:p>
      <w:pPr>
        <w:pStyle w:val="Heading3"/>
      </w:pPr>
      <w:r>
        <w:t xml:space="preserve">4.2. Выходные файлы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domain_model.json</w:t>
            </w:r>
          </w:p>
        </w:tc>
        <w:tc>
          <w:tcPr/>
          <w:p>
            <w:pPr>
              <w:pStyle w:val="Compact"/>
            </w:pPr>
            <w:r>
              <w:t xml:space="preserve">Доменная схема в JSON (см. Приложение 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process.bpmn</w:t>
            </w:r>
          </w:p>
        </w:tc>
        <w:tc>
          <w:tcPr/>
          <w:p>
            <w:pPr>
              <w:pStyle w:val="Compact"/>
            </w:pPr>
            <w:r>
              <w:t xml:space="preserve">Camunda‑совместимый BPMN 2.0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diagram.gv</w:t>
            </w:r>
          </w:p>
        </w:tc>
        <w:tc>
          <w:tcPr/>
          <w:p>
            <w:pPr>
              <w:pStyle w:val="Compact"/>
            </w:pPr>
            <w:r>
              <w:t xml:space="preserve">GraphViz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report.md</w:t>
            </w:r>
          </w:p>
        </w:tc>
        <w:tc>
          <w:tcPr/>
          <w:p>
            <w:pPr>
              <w:pStyle w:val="Compact"/>
            </w:pPr>
            <w:r>
              <w:t xml:space="preserve">Markdown‑отчёт</w:t>
            </w:r>
          </w:p>
        </w:tc>
      </w:tr>
    </w:tbl>
    <w:bookmarkEnd w:id="27"/>
    <w:bookmarkEnd w:id="28"/>
    <w:bookmarkStart w:id="29" w:name="нефункциональные-требования"/>
    <w:p>
      <w:pPr>
        <w:pStyle w:val="Heading2"/>
      </w:pPr>
      <w:r>
        <w:t xml:space="preserve">5. Нефункциональные требования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Язык интерфейса:</w:t>
      </w:r>
      <w:r>
        <w:t xml:space="preserve"> </w:t>
      </w:r>
      <w:r>
        <w:t xml:space="preserve">русский; поддержка масштабирования DPI.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Фреймворк GUI:</w:t>
      </w:r>
      <w:r>
        <w:t xml:space="preserve"> </w:t>
      </w:r>
      <w:r>
        <w:rPr>
          <w:b/>
          <w:bCs/>
        </w:rPr>
        <w:t xml:space="preserve">PySide 6</w:t>
      </w:r>
      <w:r>
        <w:t xml:space="preserve"> </w:t>
      </w:r>
      <w:r>
        <w:t xml:space="preserve">(Qt 6) либо</w:t>
      </w:r>
      <w:r>
        <w:t xml:space="preserve"> </w:t>
      </w:r>
      <w:r>
        <w:rPr>
          <w:b/>
          <w:bCs/>
        </w:rPr>
        <w:t xml:space="preserve">PyQt 6</w:t>
      </w:r>
      <w:r>
        <w:t xml:space="preserve">; стиль Fusion.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≥ 3.11, PEP 8,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файл 5 000 слов → полная обработка ≤ 60 с (CPU, модель mini).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Контекст GPT:</w:t>
      </w:r>
      <w:r>
        <w:t xml:space="preserve"> </w:t>
      </w:r>
      <w:r>
        <w:t xml:space="preserve">максимальный объём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в одном запросе — 48 000 (увеличено в 12 раз). файл 5 000 слов → полная обработка ≤ 60 с (CPU, модель mini).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Тесты:</w:t>
      </w:r>
      <w:r>
        <w:t xml:space="preserve"> </w:t>
      </w:r>
      <w:r>
        <w:t xml:space="preserve">≥ 80 % (pytest + vcrpy).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Логирование:</w:t>
      </w:r>
      <w:r>
        <w:t xml:space="preserve"> </w:t>
      </w:r>
      <w:r>
        <w:rPr>
          <w:rStyle w:val="VerbatimChar"/>
        </w:rPr>
        <w:t xml:space="preserve">structlog</w:t>
      </w:r>
      <w:r>
        <w:t xml:space="preserve"> </w:t>
      </w:r>
      <w:r>
        <w:t xml:space="preserve">JSON; отдельная вкладка «Логи».</w:t>
      </w:r>
    </w:p>
    <w:bookmarkEnd w:id="29"/>
    <w:bookmarkStart w:id="30" w:name="архитектура"/>
    <w:p>
      <w:pPr>
        <w:pStyle w:val="Heading2"/>
      </w:pPr>
      <w:r>
        <w:t xml:space="preserve">6. Архитектура</w:t>
      </w:r>
    </w:p>
    <w:p>
      <w:pPr>
        <w:pStyle w:val="SourceCode"/>
      </w:pPr>
      <w:r>
        <w:rPr>
          <w:rStyle w:val="VerbatimChar"/>
        </w:rPr>
        <w:t xml:space="preserve">┌──────GUI (Qt)──────┐</w:t>
      </w:r>
      <w:r>
        <w:br/>
      </w:r>
      <w:r>
        <w:rPr>
          <w:rStyle w:val="VerbatimChar"/>
        </w:rPr>
        <w:t xml:space="preserve">│ MainWindow         │</w:t>
      </w:r>
      <w:r>
        <w:br/>
      </w:r>
      <w:r>
        <w:rPr>
          <w:rStyle w:val="VerbatimChar"/>
        </w:rPr>
        <w:t xml:space="preserve">│ ├─MenuBar          │</w:t>
      </w:r>
      <w:r>
        <w:br/>
      </w:r>
      <w:r>
        <w:rPr>
          <w:rStyle w:val="VerbatimChar"/>
        </w:rPr>
        <w:t xml:space="preserve">│ ├─TabWidget        │</w:t>
      </w:r>
      <w:r>
        <w:br/>
      </w:r>
      <w:r>
        <w:rPr>
          <w:rStyle w:val="VerbatimChar"/>
        </w:rPr>
        <w:t xml:space="preserve">│ │  ├─InputPreview  │</w:t>
      </w:r>
      <w:r>
        <w:br/>
      </w:r>
      <w:r>
        <w:rPr>
          <w:rStyle w:val="VerbatimChar"/>
        </w:rPr>
        <w:t xml:space="preserve">│ │  ├─Progress      │</w:t>
      </w:r>
      <w:r>
        <w:br/>
      </w:r>
      <w:r>
        <w:rPr>
          <w:rStyle w:val="VerbatimChar"/>
        </w:rPr>
        <w:t xml:space="preserve">│ │  ├─SchemaView    │</w:t>
      </w:r>
      <w:r>
        <w:br/>
      </w:r>
      <w:r>
        <w:rPr>
          <w:rStyle w:val="VerbatimChar"/>
        </w:rPr>
        <w:t xml:space="preserve">│ │  ├─BPMNView      │</w:t>
      </w:r>
      <w:r>
        <w:br/>
      </w:r>
      <w:r>
        <w:rPr>
          <w:rStyle w:val="VerbatimChar"/>
        </w:rPr>
        <w:t xml:space="preserve">│ │  └─ReportView    │</w:t>
      </w:r>
      <w:r>
        <w:br/>
      </w:r>
      <w:r>
        <w:rPr>
          <w:rStyle w:val="VerbatimChar"/>
        </w:rPr>
        <w:t xml:space="preserve">│ └─StatusBar  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rPr>
          <w:rStyle w:val="VerbatimChar"/>
        </w:rPr>
        <w:t xml:space="preserve">         │ async signals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Pipeline      │  (Steps 0‑6)</w:t>
      </w:r>
      <w:r>
        <w:br/>
      </w:r>
      <w:r>
        <w:rPr>
          <w:rStyle w:val="VerbatimChar"/>
        </w:rPr>
        <w:t xml:space="preserve">└───────────────┘</w:t>
      </w:r>
      <w:r>
        <w:br/>
      </w:r>
      <w:r>
        <w:rPr>
          <w:rStyle w:val="VerbatimChar"/>
        </w:rPr>
        <w:t xml:space="preserve">         │ results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Filesystem (+ Config)</w:t>
      </w:r>
    </w:p>
    <w:bookmarkEnd w:id="30"/>
    <w:bookmarkStart w:id="31" w:name="зависимости"/>
    <w:p>
      <w:pPr>
        <w:pStyle w:val="Heading2"/>
      </w:pPr>
      <w:r>
        <w:t xml:space="preserve">7. Зависимости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openai&gt;=1.30</w:t>
            </w:r>
          </w:p>
        </w:tc>
        <w:tc>
          <w:tcPr/>
          <w:p>
            <w:pPr>
              <w:pStyle w:val="Compact"/>
            </w:pPr>
            <w:r>
              <w:t xml:space="preserve">GPT‑API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pydantic‑settings</w:t>
            </w:r>
          </w:p>
        </w:tc>
        <w:tc>
          <w:tcPr/>
          <w:p>
            <w:pPr>
              <w:pStyle w:val="Compact"/>
            </w:pPr>
            <w:r>
              <w:t xml:space="preserve">схемы / конфиг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PySide6</w:t>
            </w:r>
          </w:p>
        </w:tc>
        <w:tc>
          <w:tcPr/>
          <w:p>
            <w:pPr>
              <w:pStyle w:val="Compact"/>
            </w:pPr>
            <w:r>
              <w:t xml:space="preserve">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whisper‑timestamped</w:t>
            </w:r>
          </w:p>
        </w:tc>
        <w:tc>
          <w:tcPr/>
          <w:p>
            <w:pPr>
              <w:pStyle w:val="Compact"/>
            </w:pPr>
            <w:r>
              <w:t xml:space="preserve">транскрипция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graphviz</w:t>
            </w:r>
          </w:p>
        </w:tc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lxml</w:t>
            </w:r>
          </w:p>
        </w:tc>
        <w:tc>
          <w:tcPr/>
          <w:p>
            <w:pPr>
              <w:pStyle w:val="Compact"/>
            </w:pPr>
            <w:r>
              <w:t xml:space="preserve">генерация BPMN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async I/O</w:t>
            </w:r>
          </w:p>
        </w:tc>
      </w:tr>
    </w:tbl>
    <w:bookmarkEnd w:id="31"/>
    <w:bookmarkStart w:id="32" w:name="планграфик"/>
    <w:p>
      <w:pPr>
        <w:pStyle w:val="Heading2"/>
      </w:pPr>
      <w:r>
        <w:t xml:space="preserve">8. План‑график</w:t>
      </w:r>
    </w:p>
    <w:p>
      <w:pPr>
        <w:pStyle w:val="Compact"/>
        <w:numPr>
          <w:ilvl w:val="0"/>
          <w:numId w:val="1008"/>
        </w:numPr>
      </w:pPr>
      <w:r>
        <w:t xml:space="preserve">Дизайн GUI и конфиг‑менеджер — 1 неделя.</w:t>
      </w:r>
    </w:p>
    <w:p>
      <w:pPr>
        <w:pStyle w:val="Compact"/>
        <w:numPr>
          <w:ilvl w:val="0"/>
          <w:numId w:val="1008"/>
        </w:numPr>
      </w:pPr>
      <w:r>
        <w:t xml:space="preserve">Реализация Step 0–2 — 2 недели.</w:t>
      </w:r>
    </w:p>
    <w:p>
      <w:pPr>
        <w:pStyle w:val="Compact"/>
        <w:numPr>
          <w:ilvl w:val="0"/>
          <w:numId w:val="1008"/>
        </w:numPr>
      </w:pPr>
      <w:r>
        <w:t xml:space="preserve">Step 3–6 + BPMNExporter + визуализация — 2 недели.</w:t>
      </w:r>
    </w:p>
    <w:p>
      <w:pPr>
        <w:pStyle w:val="Compact"/>
        <w:numPr>
          <w:ilvl w:val="0"/>
          <w:numId w:val="1008"/>
        </w:numPr>
      </w:pPr>
      <w:r>
        <w:t xml:space="preserve">Тесты, инсталлятор (PyInstaller) — 1 неделя.</w:t>
      </w:r>
    </w:p>
    <w:p>
      <w:pPr>
        <w:pStyle w:val="Compact"/>
        <w:numPr>
          <w:ilvl w:val="0"/>
          <w:numId w:val="1008"/>
        </w:numPr>
      </w:pPr>
      <w:r>
        <w:t xml:space="preserve">Локализация и документация — 1 неделя.</w:t>
      </w:r>
    </w:p>
    <w:bookmarkEnd w:id="32"/>
    <w:bookmarkStart w:id="33" w:name="критерии-приёмки"/>
    <w:p>
      <w:pPr>
        <w:pStyle w:val="Heading2"/>
      </w:pPr>
      <w:r>
        <w:t xml:space="preserve">9. Критерии приёмки</w:t>
      </w:r>
    </w:p>
    <w:p>
      <w:pPr>
        <w:pStyle w:val="Compact"/>
        <w:numPr>
          <w:ilvl w:val="0"/>
          <w:numId w:val="1009"/>
        </w:numPr>
      </w:pPr>
      <w:r>
        <w:t xml:space="preserve">Диалог «Настройки» корректно сохраняет и восстанавливает API‑ключ.</w:t>
      </w:r>
    </w:p>
    <w:p>
      <w:pPr>
        <w:pStyle w:val="Compact"/>
        <w:numPr>
          <w:ilvl w:val="0"/>
          <w:numId w:val="1009"/>
        </w:numPr>
      </w:pPr>
      <w:r>
        <w:t xml:space="preserve">Пример «diagram_1.bpmn» открывается в Camunda Modeler без ошибок.</w:t>
      </w:r>
    </w:p>
    <w:p>
      <w:pPr>
        <w:pStyle w:val="Compact"/>
        <w:numPr>
          <w:ilvl w:val="0"/>
          <w:numId w:val="1009"/>
        </w:numPr>
      </w:pPr>
      <w:r>
        <w:t xml:space="preserve">Тест‑кейс Anti‑Fraud из методики конвертируется ≤ 60 с и визуализируется.</w:t>
      </w:r>
    </w:p>
    <w:p>
      <w:pPr>
        <w:pStyle w:val="Compact"/>
        <w:numPr>
          <w:ilvl w:val="0"/>
          <w:numId w:val="1009"/>
        </w:numPr>
      </w:pPr>
      <w:r>
        <w:t xml:space="preserve">Ручное тестирование GUI: все элементы подписаны по‑русски, DPI‑агностично.</w:t>
      </w:r>
    </w:p>
    <w:bookmarkEnd w:id="33"/>
    <w:bookmarkStart w:id="34" w:name="пакет-поставки"/>
    <w:p>
      <w:pPr>
        <w:pStyle w:val="Heading2"/>
      </w:pPr>
      <w:r>
        <w:t xml:space="preserve">10. Пакет поставки</w:t>
      </w:r>
    </w:p>
    <w:p>
      <w:pPr>
        <w:pStyle w:val="Compact"/>
        <w:numPr>
          <w:ilvl w:val="0"/>
          <w:numId w:val="1010"/>
        </w:numPr>
      </w:pPr>
      <w:r>
        <w:t xml:space="preserve">Исходный код (MIT) +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Инсталлятор для Windows (x64) и AppImage для Linux.</w:t>
      </w:r>
    </w:p>
    <w:p>
      <w:pPr>
        <w:pStyle w:val="Compact"/>
        <w:numPr>
          <w:ilvl w:val="0"/>
          <w:numId w:val="1010"/>
        </w:numPr>
      </w:pPr>
      <w:r>
        <w:t xml:space="preserve">Примеры входных и выходных файлов.</w:t>
      </w:r>
    </w:p>
    <w:p>
      <w:pPr>
        <w:pStyle w:val="Compact"/>
        <w:numPr>
          <w:ilvl w:val="0"/>
          <w:numId w:val="1010"/>
        </w:numPr>
      </w:pPr>
      <w:r>
        <w:t xml:space="preserve">HTML‑документация (Sphinx).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Приложения</w:t>
      </w:r>
      <w:r>
        <w:br/>
      </w:r>
      <w:r>
        <w:t xml:space="preserve">A. JSON‑Schema</w:t>
      </w:r>
      <w:r>
        <w:t xml:space="preserve"> </w:t>
      </w:r>
      <w:r>
        <w:rPr>
          <w:rStyle w:val="VerbatimChar"/>
        </w:rPr>
        <w:t xml:space="preserve">domain_model.schema.json</w:t>
      </w:r>
      <w:r>
        <w:t xml:space="preserve">.</w:t>
      </w:r>
      <w:r>
        <w:br/>
      </w:r>
      <w:r>
        <w:t xml:space="preserve">B. XSD BPMN </w:t>
      </w:r>
      <w:r>
        <w:rPr>
          <w:rStyle w:val="VerbatimChar"/>
        </w:rPr>
        <w:t xml:space="preserve">BPMN20.xsd</w:t>
      </w:r>
      <w:r>
        <w:t xml:space="preserve">.</w:t>
      </w:r>
      <w:r>
        <w:br/>
      </w:r>
      <w:r>
        <w:t xml:space="preserve">C. Скриншоты макета GUI.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2025-06-17T13:10:44Z</dcterms:created>
  <dcterms:modified xsi:type="dcterms:W3CDTF">2025-06-17T13:10:44Z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