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567908a848bef67a945a4c2ff243e46c5abf76"/>
    <w:p>
      <w:pPr>
        <w:pStyle w:val="Heading1"/>
      </w:pPr>
      <w:r>
        <w:t xml:space="preserve">Domain Modeling Steps — расширенная версия (v 2.2)</w:t>
      </w:r>
    </w:p>
    <w:p>
      <w:pPr>
        <w:pStyle w:val="BlockText"/>
      </w:pPr>
      <w:r>
        <w:t xml:space="preserve">Во всей методике используем термин</w:t>
      </w:r>
      <w:r>
        <w:t xml:space="preserve"> </w:t>
      </w:r>
      <w:r>
        <w:rPr>
          <w:b/>
          <w:bCs/>
        </w:rPr>
        <w:t xml:space="preserve">«измеримый результат блока»</w:t>
      </w:r>
      <w:r>
        <w:t xml:space="preserve"> </w:t>
      </w:r>
      <w:r>
        <w:t xml:space="preserve">вместо KPI.</w:t>
      </w:r>
      <w:r>
        <w:br/>
      </w:r>
      <w:r>
        <w:t xml:space="preserve">В начале приведён</w:t>
      </w:r>
      <w:r>
        <w:t xml:space="preserve"> </w:t>
      </w:r>
      <w:r>
        <w:rPr>
          <w:b/>
          <w:bCs/>
        </w:rPr>
        <w:t xml:space="preserve">чек‑лист быстрых проверок</w:t>
      </w:r>
      <w:r>
        <w:t xml:space="preserve"> </w:t>
      </w:r>
      <w:r>
        <w:t xml:space="preserve">— памятка ведущему.</w:t>
      </w:r>
    </w:p>
    <w:p>
      <w:r>
        <w:pict>
          <v:rect style="width:0;height:1.5pt" o:hralign="center" o:hrstd="t" o:hr="t"/>
        </w:pict>
      </w:r>
    </w:p>
    <w:bookmarkStart w:id="20" w:name="быстрые-проверки-памятка-перед-стартом"/>
    <w:p>
      <w:pPr>
        <w:pStyle w:val="Heading2"/>
      </w:pPr>
      <w:r>
        <w:t xml:space="preserve">🎯 Быстрые проверки (памятка перед стартом)</w:t>
      </w:r>
    </w:p>
    <w:p>
      <w:pPr>
        <w:pStyle w:val="Compact"/>
        <w:numPr>
          <w:ilvl w:val="0"/>
          <w:numId w:val="1001"/>
        </w:numPr>
      </w:pPr>
      <w:r>
        <w:t xml:space="preserve">У каждого блока должен быть владелец и измеримый результат.</w:t>
      </w:r>
    </w:p>
    <w:p>
      <w:pPr>
        <w:pStyle w:val="Compact"/>
        <w:numPr>
          <w:ilvl w:val="0"/>
          <w:numId w:val="1001"/>
        </w:numPr>
      </w:pPr>
      <w:r>
        <w:t xml:space="preserve">Потоки R / T всегда имеют хотя бы один F или E‑ответ (кроме внешних событий).</w:t>
      </w:r>
    </w:p>
    <w:p>
      <w:pPr>
        <w:pStyle w:val="Compact"/>
        <w:numPr>
          <w:ilvl w:val="0"/>
          <w:numId w:val="1001"/>
        </w:numPr>
      </w:pPr>
      <w:r>
        <w:t xml:space="preserve">Внешние триггеры — в облака, не в корзину.</w:t>
      </w:r>
    </w:p>
    <w:p>
      <w:pPr>
        <w:pStyle w:val="Compact"/>
        <w:numPr>
          <w:ilvl w:val="0"/>
          <w:numId w:val="1001"/>
        </w:numPr>
      </w:pPr>
      <w:r>
        <w:t xml:space="preserve">На одной схеме — только блоки одного масштаба.</w:t>
      </w:r>
    </w:p>
    <w:p>
      <w:pPr>
        <w:pStyle w:val="Compact"/>
        <w:numPr>
          <w:ilvl w:val="0"/>
          <w:numId w:val="1001"/>
        </w:numPr>
      </w:pPr>
      <w:r>
        <w:t xml:space="preserve">Любая связь без ответа → красная метка (2 итерации без фикса — блок на рефакторинг).</w:t>
      </w:r>
    </w:p>
    <w:p>
      <w:r>
        <w:pict>
          <v:rect style="width:0;height:1.5pt" o:hralign="center" o:hrstd="t" o:hr="t"/>
        </w:pict>
      </w:r>
    </w:p>
    <w:bookmarkEnd w:id="20"/>
    <w:bookmarkStart w:id="21" w:name="шаг-0.-сбор-материала-и-единый-словарь"/>
    <w:p>
      <w:pPr>
        <w:pStyle w:val="Heading2"/>
      </w:pPr>
      <w:r>
        <w:t xml:space="preserve">Шаг 0. Сбор материала и Единый словарь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 — зафиксировать рассказ и договориться о терминах.</w:t>
      </w:r>
    </w:p>
    <w:p>
      <w:pPr>
        <w:pStyle w:val="Compact"/>
        <w:numPr>
          <w:ilvl w:val="0"/>
          <w:numId w:val="1002"/>
        </w:numPr>
      </w:pPr>
      <w:r>
        <w:t xml:space="preserve">Записываем свободный рассказ участника (стенограмма/аудио).</w:t>
      </w:r>
    </w:p>
    <w:p>
      <w:pPr>
        <w:pStyle w:val="Compact"/>
        <w:numPr>
          <w:ilvl w:val="0"/>
          <w:numId w:val="1002"/>
        </w:numPr>
      </w:pPr>
      <w:r>
        <w:t xml:space="preserve">Выписываем все специфические слова → черновой</w:t>
      </w:r>
      <w:r>
        <w:t xml:space="preserve"> </w:t>
      </w:r>
      <w:r>
        <w:rPr>
          <w:b/>
          <w:bCs/>
        </w:rPr>
        <w:t xml:space="preserve">Единый словарь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Термин‑дрилл</w:t>
      </w:r>
      <w:r>
        <w:t xml:space="preserve">: каждый ключевой термин формулируется одним предложением; расхождения согласовываются.</w:t>
      </w:r>
    </w:p>
    <w:p>
      <w:pPr>
        <w:pStyle w:val="Compact"/>
        <w:numPr>
          <w:ilvl w:val="0"/>
          <w:numId w:val="1002"/>
        </w:numPr>
      </w:pPr>
      <w:r>
        <w:t xml:space="preserve">Инструменты: Notion / Confluence.</w:t>
      </w:r>
    </w:p>
    <w:p>
      <w:r>
        <w:pict>
          <v:rect style="width:0;height:1.5pt" o:hralign="center" o:hrstd="t" o:hr="t"/>
        </w:pict>
      </w:r>
    </w:p>
    <w:bookmarkEnd w:id="21"/>
    <w:bookmarkStart w:id="22" w:name="шаг-1.-выделение-действий"/>
    <w:p>
      <w:pPr>
        <w:pStyle w:val="Heading2"/>
      </w:pPr>
      <w:r>
        <w:t xml:space="preserve">Шаг 1. Выделение действий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 — получить полный список активных преобразований.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4"/>
        <w:gridCol w:w="902"/>
        <w:gridCol w:w="601"/>
        <w:gridCol w:w="1604"/>
        <w:gridCol w:w="2005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Агент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Частотность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антифрода</w:t>
            </w:r>
          </w:p>
        </w:tc>
        <w:tc>
          <w:tcPr/>
          <w:p>
            <w:pPr>
              <w:pStyle w:val="Compact"/>
            </w:pPr>
            <w:r>
              <w:t xml:space="preserve">блокирует</w:t>
            </w:r>
          </w:p>
        </w:tc>
        <w:tc>
          <w:tcPr/>
          <w:p>
            <w:pPr>
              <w:pStyle w:val="Compact"/>
            </w:pPr>
            <w:r>
              <w:t xml:space="preserve">счёт</w:t>
            </w:r>
          </w:p>
        </w:tc>
        <w:tc>
          <w:tcPr/>
          <w:p>
            <w:pPr>
              <w:pStyle w:val="Compact"/>
            </w:pPr>
            <w:r>
              <w:t xml:space="preserve">защитить клиента</w:t>
            </w:r>
          </w:p>
        </w:tc>
        <w:tc>
          <w:tcPr/>
          <w:p>
            <w:pPr>
              <w:pStyle w:val="Compact"/>
            </w:pPr>
            <w:r>
              <w:t xml:space="preserve">«Флаг мошенничества»</w:t>
            </w:r>
          </w:p>
        </w:tc>
        <w:tc>
          <w:tcPr/>
          <w:p>
            <w:pPr>
              <w:pStyle w:val="Compact"/>
            </w:pPr>
            <w:r>
              <w:t xml:space="preserve">мгновенно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делаем</w:t>
      </w:r>
    </w:p>
    <w:p>
      <w:pPr>
        <w:pStyle w:val="Compact"/>
        <w:numPr>
          <w:ilvl w:val="0"/>
          <w:numId w:val="1003"/>
        </w:numPr>
      </w:pPr>
      <w:r>
        <w:t xml:space="preserve">Ищем фразы «кто‑делает‑что».</w:t>
      </w:r>
    </w:p>
    <w:p>
      <w:pPr>
        <w:pStyle w:val="Compact"/>
        <w:numPr>
          <w:ilvl w:val="0"/>
          <w:numId w:val="1003"/>
        </w:numPr>
      </w:pPr>
      <w:r>
        <w:t xml:space="preserve">Записываем их в таблицу по шаблону выше.</w:t>
      </w:r>
    </w:p>
    <w:p>
      <w:pPr>
        <w:pStyle w:val="Compact"/>
        <w:numPr>
          <w:ilvl w:val="0"/>
          <w:numId w:val="1003"/>
        </w:numPr>
      </w:pPr>
      <w:r>
        <w:t xml:space="preserve">Фильтруем свойства и пассив без актора.</w:t>
      </w:r>
    </w:p>
    <w:p>
      <w:r>
        <w:pict>
          <v:rect style="width:0;height:1.5pt" o:hralign="center" o:hrstd="t" o:hr="t"/>
        </w:pict>
      </w:r>
    </w:p>
    <w:bookmarkEnd w:id="22"/>
    <w:bookmarkStart w:id="23" w:name="шаг-2.-формулирование-доменов"/>
    <w:p>
      <w:pPr>
        <w:pStyle w:val="Heading2"/>
      </w:pPr>
      <w:r>
        <w:t xml:space="preserve">Шаг 2. Формулирование доменов</w:t>
      </w:r>
    </w:p>
    <w:p>
      <w:pPr>
        <w:pStyle w:val="FirstParagraph"/>
      </w:pPr>
      <w:r>
        <w:t xml:space="preserve">Домен появляется, когда одновременно есть: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Ответственный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Измеримый результат блока</w:t>
      </w:r>
      <w:r>
        <w:t xml:space="preserve"> </w:t>
      </w:r>
      <w:r>
        <w:t xml:space="preserve">(метрика + периодичность).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Единая модель и язык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Название домена</w:t>
      </w:r>
      <w:r>
        <w:t xml:space="preserve"> — понятно внешнему эксперту без пояснений (длина слов не критична).</w:t>
      </w:r>
      <w:r>
        <w:br/>
      </w:r>
      <w:r>
        <w:t xml:space="preserve">Сначала подтверждаем словарь, затем смотрим повторяющиеся глаголы.</w:t>
      </w:r>
    </w:p>
    <w:p>
      <w:pPr>
        <w:pStyle w:val="BodyText"/>
      </w:pPr>
      <w:r>
        <w:t xml:space="preserve">Правило одного масштаба: на схеме рядом только блоки, которые могут обменяться артефактом без промежуточного преобразования.</w:t>
      </w:r>
    </w:p>
    <w:p>
      <w:r>
        <w:pict>
          <v:rect style="width:0;height:1.5pt" o:hralign="center" o:hrstd="t" o:hr="t"/>
        </w:pict>
      </w:r>
    </w:p>
    <w:bookmarkEnd w:id="23"/>
    <w:bookmarkStart w:id="24" w:name="шаг-3.-стыки-и-накопители"/>
    <w:p>
      <w:pPr>
        <w:pStyle w:val="Heading2"/>
      </w:pPr>
      <w:r>
        <w:t xml:space="preserve">Шаг 3. Стыки и накопители</w:t>
      </w:r>
    </w:p>
    <w:p>
      <w:pPr>
        <w:pStyle w:val="FirstParagraph"/>
      </w:pPr>
      <w:r>
        <w:rPr>
          <w:b/>
          <w:bCs/>
        </w:rPr>
        <w:t xml:space="preserve">Типы стрелок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(синяя сплошная) — ресурс.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(чёрная сплошная) — требование.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(серый штрих) — событие.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F‑S</w:t>
      </w:r>
      <w:r>
        <w:t xml:space="preserve"> </w:t>
      </w:r>
      <w:r>
        <w:t xml:space="preserve">(зелёная пунктир) — «вернуть к норме».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F‑U</w:t>
      </w:r>
      <w:r>
        <w:t xml:space="preserve"> </w:t>
      </w:r>
      <w:r>
        <w:t xml:space="preserve">(лаймовый пунктир) — «давай ещё».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(оранжевая двойная) — запрос на изменение.</w:t>
      </w:r>
    </w:p>
    <w:p>
      <w:pPr>
        <w:pStyle w:val="BodyText"/>
      </w:pPr>
      <w:r>
        <w:rPr>
          <w:b/>
          <w:bCs/>
        </w:rPr>
        <w:t xml:space="preserve">Накопители</w:t>
      </w:r>
    </w:p>
    <w:p>
      <w:pPr>
        <w:pStyle w:val="Compact"/>
        <w:numPr>
          <w:ilvl w:val="0"/>
          <w:numId w:val="1005"/>
        </w:numPr>
      </w:pPr>
      <w:r>
        <w:t xml:space="preserve">safety — полезный буфер (✔).</w:t>
      </w:r>
    </w:p>
    <w:p>
      <w:pPr>
        <w:pStyle w:val="Compact"/>
        <w:numPr>
          <w:ilvl w:val="0"/>
          <w:numId w:val="1005"/>
        </w:numPr>
      </w:pPr>
      <w:r>
        <w:t xml:space="preserve">waste — хроническая очередь (🔴).</w:t>
      </w:r>
    </w:p>
    <w:p>
      <w:pPr>
        <w:pStyle w:val="FirstParagraph"/>
      </w:pPr>
      <w:r>
        <w:rPr>
          <w:b/>
          <w:bCs/>
        </w:rPr>
        <w:t xml:space="preserve">Правило замкнутого контура</w:t>
      </w:r>
      <w:r>
        <w:br/>
      </w:r>
      <w:r>
        <w:t xml:space="preserve">На каждый поток R или T должна приходиться минимум одна стрелка F (S/U) или E.</w:t>
      </w:r>
      <w:r>
        <w:br/>
      </w:r>
      <w:r>
        <w:t xml:space="preserve">Внешние события E от «облаков» обратной связи не требуют.</w:t>
      </w:r>
      <w:r>
        <w:br/>
      </w:r>
      <w:r>
        <w:t xml:space="preserve">Связь без ответа → красная метка; если 2 итерации подряд она остаётся красной → домен/стык уходит на рефакторинг.</w:t>
      </w:r>
    </w:p>
    <w:p>
      <w:r>
        <w:pict>
          <v:rect style="width:0;height:1.5pt" o:hralign="center" o:hrstd="t" o:hr="t"/>
        </w:pict>
      </w:r>
    </w:p>
    <w:bookmarkEnd w:id="24"/>
    <w:bookmarkStart w:id="25" w:name="шаг-4.-контекстуальные-влияния-и-риски"/>
    <w:p>
      <w:pPr>
        <w:pStyle w:val="Heading2"/>
      </w:pPr>
      <w:r>
        <w:t xml:space="preserve">Шаг 4. Контекстуальные влияния и риски</w:t>
      </w:r>
    </w:p>
    <w:p>
      <w:pPr>
        <w:pStyle w:val="Compact"/>
        <w:numPr>
          <w:ilvl w:val="0"/>
          <w:numId w:val="1006"/>
        </w:numPr>
      </w:pPr>
      <w:r>
        <w:t xml:space="preserve">Внешние силы (пожар, пандемия, закон) — облака вокруг схемы.</w:t>
      </w:r>
    </w:p>
    <w:p>
      <w:pPr>
        <w:pStyle w:val="Compact"/>
        <w:numPr>
          <w:ilvl w:val="0"/>
          <w:numId w:val="1006"/>
        </w:numPr>
      </w:pPr>
      <w:r>
        <w:t xml:space="preserve">Для каждого облака оцениваем</w:t>
      </w:r>
      <w:r>
        <w:t xml:space="preserve"> </w:t>
      </w:r>
      <w:r>
        <w:rPr>
          <w:b/>
          <w:bCs/>
        </w:rPr>
        <w:t xml:space="preserve">вероятность × влияние</w:t>
      </w:r>
      <w:r>
        <w:t xml:space="preserve"> </w:t>
      </w:r>
      <w:r>
        <w:t xml:space="preserve">(матрица 2×2).</w:t>
      </w:r>
    </w:p>
    <w:p>
      <w:pPr>
        <w:pStyle w:val="Compact"/>
        <w:numPr>
          <w:ilvl w:val="0"/>
          <w:numId w:val="1006"/>
        </w:numPr>
      </w:pPr>
      <w:r>
        <w:t xml:space="preserve">Проверяем: может ли событие превратить safety‑буфер в waste?</w:t>
      </w:r>
    </w:p>
    <w:p>
      <w:r>
        <w:pict>
          <v:rect style="width:0;height:1.5pt" o:hralign="center" o:hrstd="t" o:hr="t"/>
        </w:pict>
      </w:r>
    </w:p>
    <w:bookmarkEnd w:id="25"/>
    <w:bookmarkStart w:id="26" w:name="Xd58f726ee51db57139e72979f69467353be392f"/>
    <w:p>
      <w:pPr>
        <w:pStyle w:val="Heading2"/>
      </w:pPr>
      <w:r>
        <w:t xml:space="preserve">Шаг 5. Валидация связей (Связность + Стресс‑чек)</w:t>
      </w:r>
    </w:p>
    <w:p>
      <w:pPr>
        <w:pStyle w:val="FirstParagraph"/>
      </w:pPr>
      <w:r>
        <w:rPr>
          <w:i/>
          <w:iCs/>
        </w:rPr>
        <w:t xml:space="preserve">Объединяет прежние шаги 5 и 7.</w:t>
      </w:r>
    </w:p>
    <w:p>
      <w:pPr>
        <w:pStyle w:val="Compact"/>
        <w:numPr>
          <w:ilvl w:val="0"/>
          <w:numId w:val="1007"/>
        </w:numPr>
      </w:pPr>
      <w:r>
        <w:t xml:space="preserve">Связность: у каждого домена есть вход и выход; потоки замкнуты.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Мини‑сценарий «на слом»</w:t>
      </w:r>
      <w:r>
        <w:t xml:space="preserve">: рвём ключевой поток, смотрим, где ломается.</w:t>
      </w:r>
    </w:p>
    <w:p>
      <w:pPr>
        <w:pStyle w:val="Compact"/>
        <w:numPr>
          <w:ilvl w:val="0"/>
          <w:numId w:val="1007"/>
        </w:numPr>
      </w:pPr>
      <w:r>
        <w:t xml:space="preserve">Полный стресс‑тест: рост нагрузки, потеря ключевого сотрудника, отказ сервиса.</w:t>
      </w:r>
    </w:p>
    <w:p>
      <w:pPr>
        <w:pStyle w:val="Compact"/>
        <w:numPr>
          <w:ilvl w:val="0"/>
          <w:numId w:val="1007"/>
        </w:numPr>
      </w:pPr>
      <w:r>
        <w:t xml:space="preserve">«Красные» связи без ответа/метрики отмечаем.</w:t>
      </w:r>
    </w:p>
    <w:p>
      <w:pPr>
        <w:pStyle w:val="Compact"/>
        <w:numPr>
          <w:ilvl w:val="0"/>
          <w:numId w:val="1007"/>
        </w:numPr>
      </w:pPr>
      <w:r>
        <w:t xml:space="preserve">Всё неподтверждённое переносим в</w:t>
      </w:r>
      <w:r>
        <w:t xml:space="preserve"> </w:t>
      </w:r>
      <w:r>
        <w:rPr>
          <w:b/>
          <w:bCs/>
        </w:rPr>
        <w:t xml:space="preserve">корзину ложных блоков</w:t>
      </w:r>
      <w:r>
        <w:t xml:space="preserve"> </w:t>
      </w:r>
      <w:r>
        <w:t xml:space="preserve">с указанием причины (нет владельца, нет метрик, устарело).</w:t>
      </w:r>
    </w:p>
    <w:p>
      <w:r>
        <w:pict>
          <v:rect style="width:0;height:1.5pt" o:hralign="center" o:hrstd="t" o:hr="t"/>
        </w:pict>
      </w:r>
    </w:p>
    <w:bookmarkEnd w:id="26"/>
    <w:bookmarkStart w:id="27" w:name="шаг-6.-итоговая-визуализация"/>
    <w:p>
      <w:pPr>
        <w:pStyle w:val="Heading2"/>
      </w:pPr>
      <w:r>
        <w:t xml:space="preserve">Шаг 6. Итоговая визуализация</w:t>
      </w:r>
    </w:p>
    <w:p>
      <w:pPr>
        <w:pStyle w:val="Compact"/>
        <w:numPr>
          <w:ilvl w:val="0"/>
          <w:numId w:val="1008"/>
        </w:numPr>
      </w:pPr>
      <w:r>
        <w:t xml:space="preserve">Рисуем чистовую карту (Miro / Lucidchart).</w:t>
      </w:r>
    </w:p>
    <w:p>
      <w:pPr>
        <w:pStyle w:val="Compact"/>
        <w:numPr>
          <w:ilvl w:val="0"/>
          <w:numId w:val="1008"/>
        </w:numPr>
      </w:pPr>
      <w:r>
        <w:t xml:space="preserve">Линия видимости (front/back) — только если есть внешний клиент.</w:t>
      </w:r>
    </w:p>
    <w:p>
      <w:pPr>
        <w:pStyle w:val="Compact"/>
        <w:numPr>
          <w:ilvl w:val="0"/>
          <w:numId w:val="1008"/>
        </w:numPr>
      </w:pPr>
      <w:r>
        <w:t xml:space="preserve">Сквозной поток ценности выделяем жирной линией.</w:t>
      </w:r>
    </w:p>
    <w:p>
      <w:pPr>
        <w:pStyle w:val="Compact"/>
        <w:numPr>
          <w:ilvl w:val="0"/>
          <w:numId w:val="1008"/>
        </w:numPr>
      </w:pPr>
      <w:r>
        <w:t xml:space="preserve">Цвета стрелок соответствуют типам потоков.</w:t>
      </w:r>
    </w:p>
    <w:p>
      <w:r>
        <w:pict>
          <v:rect style="width:0;height:1.5pt" o:hralign="center" o:hrstd="t" o:hr="t"/>
        </w:pict>
      </w:r>
    </w:p>
    <w:bookmarkEnd w:id="27"/>
    <w:bookmarkStart w:id="28" w:name="шаг-7.-подготовка-изменений-и-итераций"/>
    <w:p>
      <w:pPr>
        <w:pStyle w:val="Heading2"/>
      </w:pPr>
      <w:r>
        <w:t xml:space="preserve">Шаг 7. Подготовка изменений и итераций</w:t>
      </w:r>
    </w:p>
    <w:p>
      <w:pPr>
        <w:pStyle w:val="Compact"/>
        <w:numPr>
          <w:ilvl w:val="0"/>
          <w:numId w:val="1009"/>
        </w:numPr>
      </w:pPr>
      <w:r>
        <w:t xml:space="preserve">Блоки/стыки с проваленным измеримым результатом — в фокус.</w:t>
      </w:r>
    </w:p>
    <w:p>
      <w:pPr>
        <w:pStyle w:val="Compact"/>
        <w:numPr>
          <w:ilvl w:val="0"/>
          <w:numId w:val="1009"/>
        </w:numPr>
      </w:pPr>
      <w:r>
        <w:t xml:space="preserve">RACI‑матрица: кто Responsible, Accountable, Consulted, Informed.</w:t>
      </w:r>
    </w:p>
    <w:p>
      <w:pPr>
        <w:pStyle w:val="Compact"/>
        <w:numPr>
          <w:ilvl w:val="0"/>
          <w:numId w:val="1009"/>
        </w:numPr>
      </w:pPr>
      <w:r>
        <w:t xml:space="preserve">Ставим приоритет (эффект, риск, сложность).</w:t>
      </w:r>
    </w:p>
    <w:p>
      <w:pPr>
        <w:pStyle w:val="Compact"/>
        <w:numPr>
          <w:ilvl w:val="0"/>
          <w:numId w:val="1009"/>
        </w:numPr>
      </w:pPr>
      <w:r>
        <w:t xml:space="preserve">Формируем план экспериментов / рефакторинга.</w:t>
      </w:r>
    </w:p>
    <w:p>
      <w:pPr>
        <w:pStyle w:val="Compact"/>
        <w:numPr>
          <w:ilvl w:val="0"/>
          <w:numId w:val="1009"/>
        </w:numPr>
      </w:pPr>
      <w:r>
        <w:t xml:space="preserve">Метод расчёта safety‑буфера — по истории сбоев (средний + 2 σ).</w:t>
      </w:r>
    </w:p>
    <w:p>
      <w:r>
        <w:pict>
          <v:rect style="width:0;height:1.5pt" o:hralign="center" o:hrstd="t" o:hr="t"/>
        </w:pict>
      </w:r>
    </w:p>
    <w:bookmarkEnd w:id="28"/>
    <w:bookmarkStart w:id="29" w:name="шаг-8.-верификация-с-владельцами"/>
    <w:p>
      <w:pPr>
        <w:pStyle w:val="Heading2"/>
      </w:pPr>
      <w:r>
        <w:t xml:space="preserve">Шаг 8. Верификация с владельцами</w:t>
      </w:r>
    </w:p>
    <w:p>
      <w:pPr>
        <w:pStyle w:val="FirstParagraph"/>
      </w:pPr>
      <w:r>
        <w:t xml:space="preserve">• Совпадает ли карта с реальностью?</w:t>
      </w:r>
      <w:r>
        <w:br/>
      </w:r>
      <w:r>
        <w:t xml:space="preserve">• Понятен ли измеримый результат каждого блока?</w:t>
      </w:r>
      <w:r>
        <w:br/>
      </w:r>
      <w:r>
        <w:t xml:space="preserve">• Приняты ли красные метки и план действий?</w:t>
      </w:r>
      <w:r>
        <w:br/>
      </w:r>
      <w:r>
        <w:t xml:space="preserve">• Уточнён ли словарь?</w:t>
      </w:r>
      <w:r>
        <w:br/>
      </w:r>
      <w:r>
        <w:t xml:space="preserve">После подтверждения карта становится «точкой правды».</w:t>
      </w:r>
    </w:p>
    <w:p>
      <w:r>
        <w:pict>
          <v:rect style="width:0;height:1.5pt" o:hralign="center" o:hrstd="t" o:hr="t"/>
        </w:pict>
      </w:r>
    </w:p>
    <w:bookmarkEnd w:id="29"/>
    <w:bookmarkStart w:id="30" w:name="инструментарий-и-интеграции"/>
    <w:p>
      <w:pPr>
        <w:pStyle w:val="Heading2"/>
      </w:pPr>
      <w:r>
        <w:t xml:space="preserve">Инструментарий и интеграции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 Storming</w:t>
      </w:r>
      <w:r>
        <w:t xml:space="preserve"> </w:t>
      </w:r>
      <w:r>
        <w:t xml:space="preserve">— быстрая фасилитация Шага 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Value Stream Mapping</w:t>
      </w:r>
      <w:r>
        <w:t xml:space="preserve"> </w:t>
      </w:r>
      <w:r>
        <w:t xml:space="preserve">— детализация потоков в Шаге 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Miro / Lucidchart</w:t>
      </w:r>
      <w:r>
        <w:t xml:space="preserve"> </w:t>
      </w:r>
      <w:r>
        <w:t xml:space="preserve">— визуальные слои.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/ Confluence</w:t>
      </w:r>
      <w:r>
        <w:t xml:space="preserve"> </w:t>
      </w:r>
      <w:r>
        <w:t xml:space="preserve">— словарь, чек‑листы.</w:t>
      </w:r>
    </w:p>
    <w:p>
      <w:r>
        <w:pict>
          <v:rect style="width:0;height:1.5pt" o:hralign="center" o:hrstd="t" o:hr="t"/>
        </w:pict>
      </w:r>
    </w:p>
    <w:bookmarkEnd w:id="30"/>
    <w:bookmarkStart w:id="32" w:name="liteверсия-5-шагов-для-новичков"/>
    <w:p>
      <w:pPr>
        <w:pStyle w:val="Heading2"/>
      </w:pPr>
      <w:r>
        <w:t xml:space="preserve">Lite‑версия (5 шагов для новичков)</w:t>
      </w:r>
    </w:p>
    <w:p>
      <w:pPr>
        <w:pStyle w:val="Compact"/>
        <w:numPr>
          <w:ilvl w:val="0"/>
          <w:numId w:val="1011"/>
        </w:numPr>
      </w:pPr>
      <w:r>
        <w:t xml:space="preserve">Словарь + термин‑дрилл.</w:t>
      </w:r>
    </w:p>
    <w:p>
      <w:pPr>
        <w:pStyle w:val="Compact"/>
        <w:numPr>
          <w:ilvl w:val="0"/>
          <w:numId w:val="1011"/>
        </w:numPr>
      </w:pPr>
      <w:r>
        <w:t xml:space="preserve">Таблица действий (Агент → Действие → Объект).</w:t>
      </w:r>
    </w:p>
    <w:p>
      <w:pPr>
        <w:pStyle w:val="Compact"/>
        <w:numPr>
          <w:ilvl w:val="0"/>
          <w:numId w:val="1011"/>
        </w:numPr>
      </w:pPr>
      <w:r>
        <w:t xml:space="preserve">Группировка в домены (владелец + измеримый результат).</w:t>
      </w:r>
    </w:p>
    <w:p>
      <w:pPr>
        <w:pStyle w:val="Compact"/>
        <w:numPr>
          <w:ilvl w:val="0"/>
          <w:numId w:val="1011"/>
        </w:numPr>
      </w:pPr>
      <w:r>
        <w:t xml:space="preserve">Построение контуров (R/T + F/E).</w:t>
      </w:r>
    </w:p>
    <w:p>
      <w:pPr>
        <w:pStyle w:val="Compact"/>
        <w:numPr>
          <w:ilvl w:val="0"/>
          <w:numId w:val="1011"/>
        </w:numPr>
      </w:pPr>
      <w:r>
        <w:t xml:space="preserve">Сценарий «на слом».</w:t>
      </w:r>
      <w:r>
        <w:br/>
      </w:r>
      <w:r>
        <w:t xml:space="preserve">+ Краткий глоссарий F‑S, F‑U, Z.</w:t>
      </w:r>
    </w:p>
    <w:p>
      <w:r>
        <w:pict>
          <v:rect style="width:0;height:1.5pt" o:hralign="center" o:hrstd="t" o:hr="t"/>
        </w:pict>
      </w:r>
    </w:p>
    <w:bookmarkStart w:id="31" w:name="результат"/>
    <w:p>
      <w:pPr>
        <w:pStyle w:val="Heading3"/>
      </w:pPr>
      <w:r>
        <w:t xml:space="preserve">Результат</w:t>
      </w:r>
    </w:p>
    <w:p>
      <w:pPr>
        <w:pStyle w:val="Compact"/>
        <w:numPr>
          <w:ilvl w:val="0"/>
          <w:numId w:val="1012"/>
        </w:numPr>
      </w:pPr>
      <w:r>
        <w:t xml:space="preserve">Карта с ясными блоками, замкнутыми потоками и учётом внешних рисков.</w:t>
      </w:r>
    </w:p>
    <w:p>
      <w:pPr>
        <w:pStyle w:val="Compact"/>
        <w:numPr>
          <w:ilvl w:val="0"/>
          <w:numId w:val="1012"/>
        </w:numPr>
      </w:pPr>
      <w:r>
        <w:t xml:space="preserve">Простые цвета и правила для чтения.</w:t>
      </w:r>
    </w:p>
    <w:p>
      <w:pPr>
        <w:pStyle w:val="Compact"/>
        <w:numPr>
          <w:ilvl w:val="0"/>
          <w:numId w:val="1012"/>
        </w:numPr>
      </w:pPr>
      <w:r>
        <w:t xml:space="preserve">Дорожная карта изменений подкреплена RACI и метрикой буферов.</w:t>
      </w:r>
    </w:p>
    <w:p>
      <w:pPr>
        <w:pStyle w:val="FirstParagraph"/>
      </w:pPr>
      <w:r>
        <w:t xml:space="preserve"> 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2025-06-17T12:27:54Z</dcterms:created>
  <dcterms:modified xsi:type="dcterms:W3CDTF">2025-06-17T12:27:54Z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